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F35BD" w:rsidRDefault="006F35BD" w14:paraId="09DE18E3" w14:textId="254130E0">
      <w:pPr>
        <w:pStyle w:val="BodyText"/>
        <w:rPr>
          <w:rFonts w:ascii="Times New Roman"/>
          <w:sz w:val="20"/>
          <w:lang w:val="en-GB"/>
        </w:rPr>
      </w:pPr>
    </w:p>
    <w:p w:rsidRPr="00521F25" w:rsidR="00BC4070" w:rsidRDefault="00BC4070" w14:paraId="50FCD90A" w14:textId="77777777">
      <w:pPr>
        <w:pStyle w:val="BodyText"/>
        <w:rPr>
          <w:rFonts w:ascii="Times New Roman"/>
          <w:sz w:val="20"/>
          <w:lang w:val="en-GB"/>
        </w:rPr>
      </w:pPr>
    </w:p>
    <w:p w:rsidRPr="00521F25" w:rsidR="006F35BD" w:rsidRDefault="002B52D6" w14:paraId="09DE18E4" w14:textId="77777777">
      <w:pPr>
        <w:spacing w:before="259"/>
        <w:ind w:right="115"/>
        <w:jc w:val="right"/>
        <w:rPr>
          <w:b/>
          <w:sz w:val="28"/>
        </w:rPr>
      </w:pPr>
      <w:r>
        <w:rPr>
          <w:noProof/>
        </w:rPr>
        <w:drawing>
          <wp:anchor distT="0" distB="0" distL="0" distR="0" simplePos="0" relativeHeight="251658240" behindDoc="0" locked="0" layoutInCell="1" allowOverlap="1" wp14:anchorId="09DE191F" wp14:editId="09DE1920">
            <wp:simplePos x="0" y="0"/>
            <wp:positionH relativeFrom="page">
              <wp:posOffset>999489</wp:posOffset>
            </wp:positionH>
            <wp:positionV relativeFrom="paragraph">
              <wp:posOffset>-151360</wp:posOffset>
            </wp:positionV>
            <wp:extent cx="1557655" cy="782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557655" cy="782320"/>
                    </a:xfrm>
                    <a:prstGeom prst="rect">
                      <a:avLst/>
                    </a:prstGeom>
                  </pic:spPr>
                </pic:pic>
              </a:graphicData>
            </a:graphic>
          </wp:anchor>
        </w:drawing>
      </w:r>
      <w:r>
        <w:rPr>
          <w:b/>
          <w:sz w:val="28"/>
        </w:rPr>
        <w:t>PRESSEMITTEILUNG</w:t>
      </w:r>
    </w:p>
    <w:p w:rsidRPr="00B3084F" w:rsidR="006F35BD" w:rsidRDefault="006F35BD" w14:paraId="09DE18E5" w14:textId="77777777">
      <w:pPr>
        <w:pStyle w:val="BodyText"/>
        <w:rPr>
          <w:b/>
          <w:sz w:val="20"/>
        </w:rPr>
      </w:pPr>
    </w:p>
    <w:p w:rsidRPr="00B3084F" w:rsidR="006F35BD" w:rsidRDefault="006F35BD" w14:paraId="09DE18E6" w14:textId="77777777">
      <w:pPr>
        <w:pStyle w:val="BodyText"/>
        <w:rPr>
          <w:b/>
          <w:sz w:val="20"/>
        </w:rPr>
      </w:pPr>
    </w:p>
    <w:p w:rsidRPr="00521F25" w:rsidR="006F35BD" w:rsidRDefault="009A13C9" w14:paraId="09DE18E7" w14:textId="49085535">
      <w:pPr>
        <w:spacing w:before="269"/>
        <w:ind w:left="1040" w:right="1055"/>
        <w:jc w:val="center"/>
        <w:rPr>
          <w:b/>
          <w:sz w:val="28"/>
          <w:szCs w:val="28"/>
        </w:rPr>
      </w:pPr>
      <w:r>
        <w:rPr>
          <w:b/>
          <w:sz w:val="28"/>
        </w:rPr>
        <w:t xml:space="preserve">EPA veröffentlicht Dashboard für das Einheitspatent </w:t>
      </w:r>
    </w:p>
    <w:p w:rsidRPr="00521F25" w:rsidR="006F35BD" w:rsidP="4C652C35" w:rsidRDefault="009A13C9" w14:paraId="09DE18E9" w14:textId="31A859CD">
      <w:pPr>
        <w:spacing w:before="204"/>
        <w:ind w:left="1040" w:right="1057"/>
        <w:jc w:val="center"/>
        <w:rPr>
          <w:b/>
          <w:bCs/>
          <w:sz w:val="28"/>
          <w:szCs w:val="28"/>
        </w:rPr>
      </w:pPr>
      <w:r>
        <w:rPr>
          <w:b/>
          <w:sz w:val="28"/>
        </w:rPr>
        <w:t>Echtzeitdaten belegen Vertrauen in das neue System</w:t>
      </w:r>
    </w:p>
    <w:p w:rsidRPr="00B3084F" w:rsidR="006F35BD" w:rsidRDefault="006F35BD" w14:paraId="09DE18EA" w14:textId="77777777">
      <w:pPr>
        <w:pStyle w:val="BodyText"/>
        <w:spacing w:before="11"/>
        <w:rPr>
          <w:b/>
          <w:sz w:val="29"/>
        </w:rPr>
      </w:pPr>
    </w:p>
    <w:p w:rsidR="00C07368" w:rsidP="00C07368" w:rsidRDefault="38CC6E8A" w14:paraId="2D7ACC6D" w14:textId="4E032C7C">
      <w:pPr>
        <w:pStyle w:val="BodyText"/>
        <w:spacing w:before="210" w:line="242" w:lineRule="auto"/>
        <w:ind w:right="120"/>
        <w:jc w:val="both"/>
        <w:rPr>
          <w:rStyle w:val="normaltextrun"/>
          <w:color w:val="000000" w:themeColor="text1"/>
          <w:shd w:val="clear" w:color="auto" w:fill="FFFFFF"/>
        </w:rPr>
      </w:pPr>
      <w:r w:rsidRPr="60EB9247">
        <w:rPr>
          <w:b w:val="1"/>
          <w:bCs w:val="1"/>
        </w:rPr>
        <w:t>München, 24. Juli 2023</w:t>
      </w:r>
      <w:r>
        <w:rPr/>
        <w:t xml:space="preserve"> – </w:t>
      </w:r>
      <w:r>
        <w:rPr>
          <w:rStyle w:val="normaltextrun"/>
          <w:color w:val="000000" w:themeColor="text1"/>
        </w:rPr>
        <w:t xml:space="preserve">Das EPA hat heute ein </w:t>
      </w:r>
      <w:hyperlink w:anchor="/customchart" r:id="Re9504cefdf544e07">
        <w:r w:rsidRPr="60EB9247" w:rsidR="60EB9247">
          <w:rPr>
            <w:rStyle w:val="Hyperlink"/>
          </w:rPr>
          <w:t>Dashboard</w:t>
        </w:r>
      </w:hyperlink>
      <w:r>
        <w:rPr>
          <w:rStyle w:val="normaltextrun"/>
          <w:color w:val="000000" w:themeColor="text1"/>
        </w:rPr>
        <w:t xml:space="preserve"> veröffentlicht, das einen tagesaktuellen Überblick über die Nachfrage nach Einheitspatenten bietet.</w:t>
      </w:r>
      <w:r>
        <w:rPr>
          <w:rStyle w:val="normaltextrun"/>
          <w:color w:val="000000" w:themeColor="text1"/>
          <w:shd w:val="clear" w:color="auto" w:fill="FFFFFF"/>
        </w:rPr>
        <w:t xml:space="preserve"> Die interaktive Darstellung zeigt die Verteilung der Anträge auf einheitliche Wirkung nach technischem Gebiet, Ursprungsland, Sprache der Übersetzung, Patentinhaberprofil und Stand der Eintragung. Die Daten werden täglich aktualisiert. Das Dashboard spiegelt das anhaltende Engagement des EPA wider, das neue System in der Nutzergemeinde ebenso wie in der Öffentlichkeit bekannter zu machen und gleichzeitig </w:t>
      </w:r>
      <w:r w:rsidR="009E6713">
        <w:rPr>
          <w:rStyle w:val="normaltextrun"/>
          <w:color w:val="000000" w:themeColor="text1"/>
          <w:shd w:val="clear" w:color="auto" w:fill="FFFFFF"/>
        </w:rPr>
        <w:t>di</w:t>
      </w:r>
      <w:r>
        <w:rPr>
          <w:rStyle w:val="normaltextrun"/>
          <w:color w:val="000000" w:themeColor="text1"/>
          <w:shd w:val="clear" w:color="auto" w:fill="FFFFFF"/>
        </w:rPr>
        <w:t xml:space="preserve">e Vorteile hervorzuheben, die es Innovatoren und insbesondere kleineren Unternehmen bietet. </w:t>
      </w:r>
    </w:p>
    <w:p w:rsidRPr="00B3084F" w:rsidR="00822970" w:rsidP="009E6713" w:rsidRDefault="00822970" w14:paraId="7490283F" w14:textId="77777777">
      <w:pPr>
        <w:pStyle w:val="BodyText"/>
        <w:spacing w:line="242" w:lineRule="auto"/>
        <w:ind w:right="120"/>
        <w:jc w:val="both"/>
        <w:rPr>
          <w:rStyle w:val="normaltextrun"/>
          <w:color w:val="000000" w:themeColor="text1"/>
          <w:shd w:val="clear" w:color="auto" w:fill="FFFFFF"/>
        </w:rPr>
      </w:pPr>
    </w:p>
    <w:p w:rsidRPr="00731DB5" w:rsidR="007B2A45" w:rsidP="009E6713" w:rsidRDefault="073FF785" w14:paraId="3640C6B9" w14:textId="55A9348E">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sz w:val="22"/>
          <w:shd w:val="clear" w:color="auto" w:fill="FFFFFF"/>
        </w:rPr>
        <w:t xml:space="preserve">"Mit seinen aufschlussreichen Informationen darüber, wie das Einheitspatent angenommen wird, sorgt das Dashboard für Transparenz", meint EPA-Präsident António Campinos. "Es erfasst relevante Parameter, anhand deren sich die Nutzerinnen und Nutzer ein umfassendes Bild von der Attraktivität des Einheitspatentsystems für innovative Unternehmen weltweit machen können. Die </w:t>
      </w:r>
      <w:r w:rsidR="009E6713">
        <w:rPr>
          <w:rStyle w:val="normaltextrun"/>
          <w:rFonts w:ascii="Arial" w:hAnsi="Arial"/>
          <w:sz w:val="22"/>
          <w:shd w:val="clear" w:color="auto" w:fill="FFFFFF"/>
        </w:rPr>
        <w:t>derzeitigen</w:t>
      </w:r>
      <w:r>
        <w:rPr>
          <w:rStyle w:val="normaltextrun"/>
          <w:rFonts w:ascii="Arial" w:hAnsi="Arial"/>
          <w:sz w:val="22"/>
          <w:shd w:val="clear" w:color="auto" w:fill="FFFFFF"/>
        </w:rPr>
        <w:t xml:space="preserve"> Daten sind äußerst vielversprechend: durchschnittlich 670 Anträge pro Woche seit dem 1. Juni zeugen von großem Interesse am neuen System."</w:t>
      </w:r>
      <w:r>
        <w:rPr>
          <w:rStyle w:val="eop"/>
          <w:rFonts w:ascii="Arial" w:hAnsi="Arial"/>
          <w:sz w:val="22"/>
        </w:rPr>
        <w:t> </w:t>
      </w:r>
    </w:p>
    <w:p w:rsidRPr="00731DB5" w:rsidR="00FB2F73" w:rsidP="3A3F01B2" w:rsidRDefault="073FF785" w14:paraId="35204857" w14:textId="274A75D4">
      <w:pPr>
        <w:pStyle w:val="BodyText"/>
        <w:spacing w:before="210" w:line="242" w:lineRule="auto"/>
        <w:ind w:right="120"/>
        <w:jc w:val="both"/>
      </w:pPr>
      <w:r>
        <w:rPr>
          <w:rStyle w:val="normaltextrun"/>
          <w:shd w:val="clear" w:color="auto" w:fill="FFFFFF"/>
        </w:rPr>
        <w:t xml:space="preserve">Seitdem das Einheitspatentsystem am 1. Juni 2023 in Kraft getreten ist, verzeichnet das </w:t>
      </w:r>
      <w:proofErr w:type="gramStart"/>
      <w:r>
        <w:rPr>
          <w:rStyle w:val="normaltextrun"/>
          <w:shd w:val="clear" w:color="auto" w:fill="FFFFFF"/>
        </w:rPr>
        <w:t>EPA Woche</w:t>
      </w:r>
      <w:proofErr w:type="gramEnd"/>
      <w:r>
        <w:rPr>
          <w:rStyle w:val="normaltextrun"/>
          <w:shd w:val="clear" w:color="auto" w:fill="FFFFFF"/>
        </w:rPr>
        <w:t xml:space="preserve"> für Woche ein gleichbleibend hohes Antragsaufkommen von Patentinhaberinnen und Patentinhaber</w:t>
      </w:r>
      <w:r w:rsidR="009E6713">
        <w:rPr>
          <w:rStyle w:val="normaltextrun"/>
          <w:shd w:val="clear" w:color="auto" w:fill="FFFFFF"/>
        </w:rPr>
        <w:t>n</w:t>
      </w:r>
      <w:r>
        <w:rPr>
          <w:rStyle w:val="normaltextrun"/>
          <w:shd w:val="clear" w:color="auto" w:fill="FFFFFF"/>
        </w:rPr>
        <w:t>, die von der Gültigkeit des neuen Patents in allen teilnehmenden Staaten (bislang 17) sowie den insgesamt niedrigeren Kosten und dem geringeren Verwaltungsaufwand profitieren wollen.</w:t>
      </w:r>
    </w:p>
    <w:p w:rsidRPr="00731DB5" w:rsidR="006F35BD" w:rsidP="00731DB5" w:rsidRDefault="007B2A45" w14:paraId="09DE18F1" w14:textId="6E97151A">
      <w:pPr>
        <w:pStyle w:val="BodyText"/>
        <w:spacing w:before="210" w:line="242" w:lineRule="auto"/>
        <w:ind w:right="120"/>
        <w:jc w:val="both"/>
      </w:pPr>
      <w:r>
        <w:t>Die Einführung des Einheitspatentsystems markiert einen historischen Meilenstein bei der Vollendung des Binnenmarktes und läutet eine neue Ära des Erfindungsschutzes in Europa ein. Mit der Schaffung eines Systems, bei dem ein einziges Patent in derzeit siebzehn Ländern Schutz bietet und Streitigkeiten für das Hoheitsgebiet aller teilnehmenden Staaten durch eine einzige Rechtsinstanz, das Einheitliche Patentgericht, geregelt werden, hebt das Einheits</w:t>
      </w:r>
      <w:r w:rsidR="009E6713">
        <w:softHyphen/>
      </w:r>
      <w:r>
        <w:t xml:space="preserve">patentsystem den Patentschutz und die Durchsetzung von Schutzrechten in Europa auf eine neue Stufe und verstärkt die Attraktivität der Region für Investitionen, Innovation und Wirtschaftsentwicklung. Das neue System ist die wichtigste Entwicklung in der Geschichte des </w:t>
      </w:r>
      <w:r w:rsidRPr="009E6713">
        <w:rPr>
          <w:spacing w:val="-2"/>
        </w:rPr>
        <w:t>europäischen Patentsystems seit der Unterzeichnung des Europäischen Patentübereinkommens</w:t>
      </w:r>
      <w:r>
        <w:t xml:space="preserve"> am 5. Oktober 1973, dessen fünfzigjähriges Jubiläum wir dieses Jahr feiern.</w:t>
      </w:r>
    </w:p>
    <w:p w:rsidRPr="00521F25" w:rsidR="006F35BD" w:rsidP="7D2D2F53" w:rsidRDefault="006F35BD" w14:paraId="09DE190A" w14:textId="77777777">
      <w:pPr>
        <w:pStyle w:val="BodyText"/>
        <w:spacing w:before="3" w:line="242" w:lineRule="auto"/>
        <w:ind w:left="111" w:right="119"/>
        <w:jc w:val="both"/>
        <w:rPr>
          <w:lang w:val="en-GB"/>
        </w:rPr>
      </w:pPr>
    </w:p>
    <w:p w:rsidRPr="00AF2807" w:rsidR="006F35BD" w:rsidP="486B0FE0" w:rsidRDefault="002B52D6" w14:paraId="421D1BD3" w14:textId="70048BB9">
      <w:pPr>
        <w:pStyle w:val="Heading1"/>
        <w:spacing w:before="1"/>
        <w:ind w:left="0"/>
        <w:rPr>
          <w:b w:val="0"/>
          <w:bCs w:val="0"/>
        </w:rPr>
      </w:pPr>
      <w:r>
        <w:rPr>
          <w:u w:val="thick"/>
        </w:rPr>
        <w:t>Weitere Informationen</w:t>
      </w:r>
    </w:p>
    <w:p w:rsidRPr="00521F25" w:rsidR="00D04CBC" w:rsidP="00C07368" w:rsidRDefault="00000000" w14:paraId="7AA6C0DD" w14:textId="0EF8A674">
      <w:pPr>
        <w:pStyle w:val="Heading1"/>
        <w:spacing w:before="1"/>
        <w:ind w:left="0"/>
      </w:pPr>
      <w:hyperlink w:history="1" w:anchor="/unitary-patent" r:id="rId12">
        <w:r w:rsidR="00371F25">
          <w:rPr>
            <w:rStyle w:val="Hyperlink"/>
            <w:b w:val="0"/>
          </w:rPr>
          <w:t>Dashboard für das Einheitspatent (UP-Dashboard)</w:t>
        </w:r>
      </w:hyperlink>
      <w:r w:rsidR="00371F25">
        <w:rPr>
          <w:rStyle w:val="eop"/>
        </w:rPr>
        <w:t> </w:t>
      </w:r>
    </w:p>
    <w:p w:rsidRPr="009E6713" w:rsidR="00D04CBC" w:rsidP="00C07368" w:rsidRDefault="00000000" w14:paraId="6A41E215" w14:textId="10BE291D">
      <w:pPr>
        <w:pStyle w:val="paragraph"/>
        <w:spacing w:before="0" w:beforeAutospacing="0" w:after="0" w:afterAutospacing="0"/>
        <w:textAlignment w:val="baseline"/>
        <w:rPr>
          <w:rFonts w:ascii="Arial" w:hAnsi="Arial" w:cs="Arial"/>
          <w:sz w:val="22"/>
          <w:szCs w:val="22"/>
        </w:rPr>
      </w:pPr>
      <w:hyperlink w:history="1" r:id="rId13">
        <w:r w:rsidRPr="009E6713" w:rsidR="009E6713">
          <w:rPr>
            <w:rStyle w:val="Hyperlink"/>
            <w:rFonts w:ascii="Arial" w:hAnsi="Arial"/>
            <w:sz w:val="22"/>
            <w:shd w:val="clear" w:color="auto" w:fill="FFFFFF"/>
          </w:rPr>
          <w:t>Einheitspatent</w:t>
        </w:r>
      </w:hyperlink>
    </w:p>
    <w:p w:rsidRPr="00C22B73" w:rsidR="00D04CBC" w:rsidP="00C07368" w:rsidRDefault="00000000" w14:paraId="7C8B2CF2" w14:textId="77777777">
      <w:pPr>
        <w:pStyle w:val="paragraph"/>
        <w:spacing w:before="0" w:beforeAutospacing="0" w:after="0" w:afterAutospacing="0"/>
        <w:textAlignment w:val="baseline"/>
        <w:rPr>
          <w:rStyle w:val="eop"/>
          <w:rFonts w:ascii="Arial" w:hAnsi="Arial" w:cs="Arial"/>
          <w:sz w:val="22"/>
          <w:szCs w:val="22"/>
        </w:rPr>
      </w:pPr>
      <w:hyperlink w:tgtFrame="_blank" w:history="1" r:id="rId14">
        <w:r w:rsidR="00371F25">
          <w:rPr>
            <w:rStyle w:val="normaltextrun"/>
            <w:rFonts w:ascii="Arial" w:hAnsi="Arial"/>
            <w:color w:val="0000FF"/>
            <w:sz w:val="22"/>
            <w:u w:val="single"/>
          </w:rPr>
          <w:t>Europäisches Patentregister</w:t>
        </w:r>
      </w:hyperlink>
      <w:r w:rsidR="00371F25">
        <w:rPr>
          <w:rStyle w:val="normaltextrun"/>
          <w:rFonts w:ascii="Arial" w:hAnsi="Arial"/>
          <w:sz w:val="22"/>
        </w:rPr>
        <w:t> </w:t>
      </w:r>
      <w:r w:rsidR="00371F25">
        <w:rPr>
          <w:rStyle w:val="eop"/>
          <w:rFonts w:ascii="Arial" w:hAnsi="Arial"/>
          <w:sz w:val="22"/>
        </w:rPr>
        <w:t> </w:t>
      </w:r>
    </w:p>
    <w:p w:rsidRPr="003F4407" w:rsidR="00CC671F" w:rsidP="00C07368" w:rsidRDefault="00000000" w14:paraId="2C9D68DE" w14:textId="074F89CE">
      <w:pPr>
        <w:pStyle w:val="paragraph"/>
        <w:spacing w:before="0" w:beforeAutospacing="0" w:after="0" w:afterAutospacing="0"/>
        <w:textAlignment w:val="baseline"/>
        <w:rPr>
          <w:rFonts w:ascii="Arial" w:hAnsi="Arial" w:cs="Arial"/>
          <w:sz w:val="22"/>
          <w:szCs w:val="22"/>
        </w:rPr>
      </w:pPr>
      <w:hyperlink w:history="1" r:id="rId15">
        <w:r w:rsidR="00371F25">
          <w:rPr>
            <w:rStyle w:val="Hyperlink"/>
            <w:rFonts w:ascii="Arial" w:hAnsi="Arial"/>
            <w:sz w:val="22"/>
          </w:rPr>
          <w:t>Einheitliches Patentgericht</w:t>
        </w:r>
      </w:hyperlink>
    </w:p>
    <w:p w:rsidRPr="00B3084F" w:rsidR="18F2D24B" w:rsidP="00C07368" w:rsidRDefault="18F2D24B" w14:paraId="04CABF8F" w14:textId="6177FF06">
      <w:pPr>
        <w:pStyle w:val="Heading1"/>
        <w:spacing w:before="1"/>
        <w:ind w:left="0"/>
      </w:pPr>
    </w:p>
    <w:p w:rsidRPr="00B3084F" w:rsidR="69E81B0E" w:rsidP="00C07368" w:rsidRDefault="69E81B0E" w14:paraId="74F29E28" w14:textId="6A646F28">
      <w:pPr>
        <w:pStyle w:val="BodyText"/>
        <w:spacing w:line="226" w:lineRule="exact"/>
      </w:pPr>
    </w:p>
    <w:p w:rsidRPr="00521F25" w:rsidR="006F35BD" w:rsidP="00C07368" w:rsidRDefault="002B52D6" w14:paraId="09DE190F" w14:textId="77777777">
      <w:pPr>
        <w:pStyle w:val="BodyText"/>
        <w:spacing w:before="2"/>
      </w:pPr>
      <w:r>
        <w:t xml:space="preserve">Folgen Sie uns auf Social Media: </w:t>
      </w:r>
      <w:proofErr w:type="spellStart"/>
      <w:r>
        <w:rPr>
          <w:color w:val="0000FF"/>
        </w:rPr>
        <w:t>Twitter</w:t>
      </w:r>
      <w:r>
        <w:t>|</w:t>
      </w:r>
      <w:r>
        <w:rPr>
          <w:color w:val="0000FF"/>
        </w:rPr>
        <w:t>Facebook</w:t>
      </w:r>
      <w:r>
        <w:t>|</w:t>
      </w:r>
      <w:r>
        <w:rPr>
          <w:color w:val="0000FF"/>
        </w:rPr>
        <w:t>LinkedIn</w:t>
      </w:r>
      <w:r>
        <w:t>|</w:t>
      </w:r>
      <w:r>
        <w:rPr>
          <w:color w:val="0000FF"/>
        </w:rPr>
        <w:t>Instagram</w:t>
      </w:r>
      <w:r>
        <w:t>|</w:t>
      </w:r>
      <w:r>
        <w:rPr>
          <w:color w:val="0000FF"/>
        </w:rPr>
        <w:t>YouTube</w:t>
      </w:r>
      <w:proofErr w:type="spellEnd"/>
    </w:p>
    <w:p w:rsidRPr="00B3084F" w:rsidR="006F35BD" w:rsidRDefault="006F35BD" w14:paraId="09DE1910" w14:textId="77777777">
      <w:pPr>
        <w:sectPr w:rsidRPr="00B3084F" w:rsidR="006F35BD">
          <w:pgSz w:w="11910" w:h="16850" w:orient="portrait"/>
          <w:pgMar w:top="1320" w:right="1300" w:bottom="280" w:left="1300" w:header="720" w:footer="720" w:gutter="0"/>
          <w:cols w:space="720"/>
        </w:sectPr>
      </w:pPr>
    </w:p>
    <w:p w:rsidRPr="00810C7E" w:rsidR="006F35BD" w:rsidRDefault="002B52D6" w14:paraId="09DE1911" w14:textId="500A4DA1">
      <w:pPr>
        <w:pStyle w:val="Heading1"/>
        <w:spacing w:before="75"/>
      </w:pPr>
      <w:r>
        <w:rPr>
          <w:u w:val="thick"/>
        </w:rPr>
        <w:t>Medienkontakte beim Europäischen Patentamt:</w:t>
      </w:r>
    </w:p>
    <w:p w:rsidRPr="00810C7E" w:rsidR="006F35BD" w:rsidRDefault="006F35BD" w14:paraId="09DE1912" w14:textId="77777777">
      <w:pPr>
        <w:pStyle w:val="BodyText"/>
        <w:spacing w:before="1"/>
        <w:rPr>
          <w:b/>
          <w:sz w:val="21"/>
        </w:rPr>
      </w:pPr>
    </w:p>
    <w:p w:rsidRPr="003F4407" w:rsidR="006F35BD" w:rsidRDefault="002B52D6" w14:paraId="09DE1913" w14:textId="77777777">
      <w:pPr>
        <w:ind w:left="111"/>
        <w:rPr>
          <w:b/>
        </w:rPr>
      </w:pPr>
      <w:r>
        <w:rPr>
          <w:b/>
        </w:rPr>
        <w:t>Luis Berenguer Giménez</w:t>
      </w:r>
    </w:p>
    <w:p w:rsidRPr="00521F25" w:rsidR="006F35BD" w:rsidRDefault="002B52D6" w14:paraId="09DE1914" w14:textId="77777777">
      <w:pPr>
        <w:pStyle w:val="BodyText"/>
        <w:spacing w:before="2"/>
        <w:ind w:left="111"/>
      </w:pPr>
      <w:r>
        <w:t>Hauptdirektor Kommunikation / EPA-Sprecher</w:t>
      </w:r>
    </w:p>
    <w:p w:rsidRPr="00B3084F" w:rsidR="006F35BD" w:rsidRDefault="006F35BD" w14:paraId="09DE1915" w14:textId="77777777">
      <w:pPr>
        <w:pStyle w:val="BodyText"/>
        <w:spacing w:before="9"/>
        <w:rPr>
          <w:sz w:val="19"/>
        </w:rPr>
      </w:pPr>
    </w:p>
    <w:p w:rsidRPr="00521F25" w:rsidR="006F35BD" w:rsidRDefault="002B52D6" w14:paraId="09DE1916" w14:textId="77777777">
      <w:pPr>
        <w:pStyle w:val="Heading1"/>
      </w:pPr>
      <w:r>
        <w:t>EPA-Pressestelle</w:t>
      </w:r>
    </w:p>
    <w:p w:rsidRPr="00521F25" w:rsidR="006F35BD" w:rsidRDefault="00000000" w14:paraId="09DE1917" w14:textId="77777777">
      <w:pPr>
        <w:pStyle w:val="BodyText"/>
        <w:spacing w:before="2" w:line="246" w:lineRule="exact"/>
        <w:ind w:left="111"/>
      </w:pPr>
      <w:hyperlink r:id="rId16">
        <w:r w:rsidR="00371F25">
          <w:rPr>
            <w:color w:val="0000FF"/>
            <w:u w:val="single" w:color="0000FF"/>
          </w:rPr>
          <w:t>press@epo.org</w:t>
        </w:r>
      </w:hyperlink>
    </w:p>
    <w:p w:rsidRPr="00521F25" w:rsidR="006F35BD" w:rsidRDefault="002B52D6" w14:paraId="09DE1918" w14:textId="77777777">
      <w:pPr>
        <w:pStyle w:val="BodyText"/>
        <w:spacing w:line="246" w:lineRule="exact"/>
        <w:ind w:left="111"/>
      </w:pPr>
      <w:r>
        <w:t>Tel.: +49 89 2399-1833</w:t>
      </w:r>
    </w:p>
    <w:p w:rsidRPr="00B3084F" w:rsidR="006F35BD" w:rsidRDefault="006F35BD" w14:paraId="09DE1919" w14:textId="77777777">
      <w:pPr>
        <w:pStyle w:val="BodyText"/>
        <w:spacing w:before="1"/>
        <w:rPr>
          <w:sz w:val="21"/>
        </w:rPr>
      </w:pPr>
    </w:p>
    <w:p w:rsidRPr="00521F25" w:rsidR="006F35BD" w:rsidRDefault="002B52D6" w14:paraId="09DE191A" w14:textId="77777777">
      <w:pPr>
        <w:pStyle w:val="Heading1"/>
        <w:spacing w:line="247" w:lineRule="exact"/>
        <w:jc w:val="both"/>
      </w:pPr>
      <w:r>
        <w:t>Rückblick auf 50 Jahre europäisches Patentsystem</w:t>
      </w:r>
    </w:p>
    <w:p w:rsidRPr="00521F25" w:rsidR="006F35BD" w:rsidRDefault="002B52D6" w14:paraId="09DE191B" w14:textId="77777777">
      <w:pPr>
        <w:pStyle w:val="BodyText"/>
        <w:spacing w:line="232" w:lineRule="auto"/>
        <w:ind w:left="111" w:right="103"/>
        <w:jc w:val="both"/>
      </w:pPr>
      <w:r>
        <w:t xml:space="preserve">2023 feiert das EPA den 50. Jahrestag der Gründung des europäischen Patentsystems. Mit der Unterzeichnung des Europäischen Patentübereinkommens am 5. Oktober 1973 in München läuteten sechzehn europäische Staaten eine neue Ära der Zusammenarbeit im Patentwesen ein. Sie legten den Grundstein für ein Patentsystem, das wirtschaftliche und technologische Entwicklungen fördert, deren Verlauf unser Leben nachhaltig verändert hat und auch künftig prägen wird. Erfahren Sie mehr über die </w:t>
      </w:r>
      <w:r>
        <w:rPr>
          <w:u w:val="single"/>
        </w:rPr>
        <w:t>Geschichte des EPA und die Jubiläumsveranstaltungen</w:t>
      </w:r>
      <w:r>
        <w:t>, die für 2023 geplant sind.</w:t>
      </w:r>
    </w:p>
    <w:p w:rsidRPr="00B3084F" w:rsidR="006F35BD" w:rsidRDefault="006F35BD" w14:paraId="09DE191C" w14:textId="77777777">
      <w:pPr>
        <w:pStyle w:val="BodyText"/>
        <w:spacing w:before="7"/>
        <w:rPr>
          <w:sz w:val="21"/>
        </w:rPr>
      </w:pPr>
    </w:p>
    <w:p w:rsidRPr="00521F25" w:rsidR="006F35BD" w:rsidRDefault="002B52D6" w14:paraId="09DE191D" w14:textId="77777777">
      <w:pPr>
        <w:pStyle w:val="Heading1"/>
        <w:spacing w:line="246" w:lineRule="exact"/>
        <w:jc w:val="both"/>
      </w:pPr>
      <w:r>
        <w:t>Das EPA</w:t>
      </w:r>
    </w:p>
    <w:p w:rsidRPr="00521F25" w:rsidR="006F35BD" w:rsidRDefault="002B52D6" w14:paraId="09DE191E" w14:textId="77777777">
      <w:pPr>
        <w:pStyle w:val="BodyText"/>
        <w:spacing w:line="235" w:lineRule="auto"/>
        <w:ind w:left="111" w:right="106"/>
        <w:jc w:val="both"/>
      </w:pPr>
      <w:r>
        <w:t>Mit 6 300 Beschäftigten ist das Europäische Patentamt (EPA)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Erfinderinnen und Erfinder hochwertigen Patentschutz in bis zu 44 Staaten erlangen, die zusammen einen Markt von rund 700 Millionen Menschen umfassen. Das EPA ist ferner weltweit führend in den Bereichen Patentinformation und Patentrecherche.</w:t>
      </w:r>
    </w:p>
    <w:sectPr w:rsidRPr="00521F25" w:rsidR="006F35BD">
      <w:pgSz w:w="11910" w:h="16850" w:orient="portrait"/>
      <w:pgMar w:top="15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20AA"/>
    <w:multiLevelType w:val="multilevel"/>
    <w:tmpl w:val="9E72013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6D0B94"/>
    <w:multiLevelType w:val="hybridMultilevel"/>
    <w:tmpl w:val="9C085146"/>
    <w:lvl w:ilvl="0" w:tplc="61EE78C2">
      <w:numFmt w:val="bullet"/>
      <w:lvlText w:val=""/>
      <w:lvlJc w:val="left"/>
      <w:pPr>
        <w:ind w:left="832" w:hanging="361"/>
      </w:pPr>
      <w:rPr>
        <w:rFonts w:hint="default" w:ascii="Symbol" w:hAnsi="Symbol" w:eastAsia="Symbol" w:cs="Symbol"/>
        <w:w w:val="100"/>
        <w:lang w:val="en-US" w:eastAsia="en-US" w:bidi="ar-SA"/>
      </w:rPr>
    </w:lvl>
    <w:lvl w:ilvl="1" w:tplc="1A769B6C">
      <w:numFmt w:val="bullet"/>
      <w:lvlText w:val="•"/>
      <w:lvlJc w:val="left"/>
      <w:pPr>
        <w:ind w:left="1687" w:hanging="361"/>
      </w:pPr>
      <w:rPr>
        <w:rFonts w:hint="default"/>
        <w:lang w:val="en-US" w:eastAsia="en-US" w:bidi="ar-SA"/>
      </w:rPr>
    </w:lvl>
    <w:lvl w:ilvl="2" w:tplc="218C6FF2">
      <w:numFmt w:val="bullet"/>
      <w:lvlText w:val="•"/>
      <w:lvlJc w:val="left"/>
      <w:pPr>
        <w:ind w:left="2534" w:hanging="361"/>
      </w:pPr>
      <w:rPr>
        <w:rFonts w:hint="default"/>
        <w:lang w:val="en-US" w:eastAsia="en-US" w:bidi="ar-SA"/>
      </w:rPr>
    </w:lvl>
    <w:lvl w:ilvl="3" w:tplc="EEC242B4">
      <w:numFmt w:val="bullet"/>
      <w:lvlText w:val="•"/>
      <w:lvlJc w:val="left"/>
      <w:pPr>
        <w:ind w:left="3381" w:hanging="361"/>
      </w:pPr>
      <w:rPr>
        <w:rFonts w:hint="default"/>
        <w:lang w:val="en-US" w:eastAsia="en-US" w:bidi="ar-SA"/>
      </w:rPr>
    </w:lvl>
    <w:lvl w:ilvl="4" w:tplc="68282678">
      <w:numFmt w:val="bullet"/>
      <w:lvlText w:val="•"/>
      <w:lvlJc w:val="left"/>
      <w:pPr>
        <w:ind w:left="4228" w:hanging="361"/>
      </w:pPr>
      <w:rPr>
        <w:rFonts w:hint="default"/>
        <w:lang w:val="en-US" w:eastAsia="en-US" w:bidi="ar-SA"/>
      </w:rPr>
    </w:lvl>
    <w:lvl w:ilvl="5" w:tplc="49989EBE">
      <w:numFmt w:val="bullet"/>
      <w:lvlText w:val="•"/>
      <w:lvlJc w:val="left"/>
      <w:pPr>
        <w:ind w:left="5075" w:hanging="361"/>
      </w:pPr>
      <w:rPr>
        <w:rFonts w:hint="default"/>
        <w:lang w:val="en-US" w:eastAsia="en-US" w:bidi="ar-SA"/>
      </w:rPr>
    </w:lvl>
    <w:lvl w:ilvl="6" w:tplc="646E2EF0">
      <w:numFmt w:val="bullet"/>
      <w:lvlText w:val="•"/>
      <w:lvlJc w:val="left"/>
      <w:pPr>
        <w:ind w:left="5922" w:hanging="361"/>
      </w:pPr>
      <w:rPr>
        <w:rFonts w:hint="default"/>
        <w:lang w:val="en-US" w:eastAsia="en-US" w:bidi="ar-SA"/>
      </w:rPr>
    </w:lvl>
    <w:lvl w:ilvl="7" w:tplc="38D0FF32">
      <w:numFmt w:val="bullet"/>
      <w:lvlText w:val="•"/>
      <w:lvlJc w:val="left"/>
      <w:pPr>
        <w:ind w:left="6769" w:hanging="361"/>
      </w:pPr>
      <w:rPr>
        <w:rFonts w:hint="default"/>
        <w:lang w:val="en-US" w:eastAsia="en-US" w:bidi="ar-SA"/>
      </w:rPr>
    </w:lvl>
    <w:lvl w:ilvl="8" w:tplc="BD225E18">
      <w:numFmt w:val="bullet"/>
      <w:lvlText w:val="•"/>
      <w:lvlJc w:val="left"/>
      <w:pPr>
        <w:ind w:left="7616" w:hanging="361"/>
      </w:pPr>
      <w:rPr>
        <w:rFonts w:hint="default"/>
        <w:lang w:val="en-US" w:eastAsia="en-US" w:bidi="ar-SA"/>
      </w:rPr>
    </w:lvl>
  </w:abstractNum>
  <w:abstractNum w:abstractNumId="2" w15:restartNumberingAfterBreak="0">
    <w:nsid w:val="30671B3F"/>
    <w:multiLevelType w:val="multilevel"/>
    <w:tmpl w:val="3D7C29E0"/>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3" w15:restartNumberingAfterBreak="0">
    <w:nsid w:val="3B69712B"/>
    <w:multiLevelType w:val="multilevel"/>
    <w:tmpl w:val="2A92ADB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F361DF"/>
    <w:multiLevelType w:val="multilevel"/>
    <w:tmpl w:val="3F3AEC42"/>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5" w15:restartNumberingAfterBreak="0">
    <w:nsid w:val="5B1A4DAA"/>
    <w:multiLevelType w:val="multilevel"/>
    <w:tmpl w:val="A346483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28245A"/>
    <w:multiLevelType w:val="multilevel"/>
    <w:tmpl w:val="25C2F69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7" w15:restartNumberingAfterBreak="0">
    <w:nsid w:val="5CBC6E7C"/>
    <w:multiLevelType w:val="multilevel"/>
    <w:tmpl w:val="C928B3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E4370B7"/>
    <w:multiLevelType w:val="multilevel"/>
    <w:tmpl w:val="037AB240"/>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9" w15:restartNumberingAfterBreak="0">
    <w:nsid w:val="60EF0105"/>
    <w:multiLevelType w:val="multilevel"/>
    <w:tmpl w:val="160AD86A"/>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C37360"/>
    <w:multiLevelType w:val="multilevel"/>
    <w:tmpl w:val="C2B401E0"/>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11" w15:restartNumberingAfterBreak="0">
    <w:nsid w:val="7BDE448B"/>
    <w:multiLevelType w:val="multilevel"/>
    <w:tmpl w:val="AB6A7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429307063">
    <w:abstractNumId w:val="1"/>
  </w:num>
  <w:num w:numId="2" w16cid:durableId="852304693">
    <w:abstractNumId w:val="8"/>
  </w:num>
  <w:num w:numId="3" w16cid:durableId="286356492">
    <w:abstractNumId w:val="3"/>
  </w:num>
  <w:num w:numId="4" w16cid:durableId="301083996">
    <w:abstractNumId w:val="5"/>
  </w:num>
  <w:num w:numId="5" w16cid:durableId="1987472138">
    <w:abstractNumId w:val="0"/>
  </w:num>
  <w:num w:numId="6" w16cid:durableId="2107647514">
    <w:abstractNumId w:val="9"/>
  </w:num>
  <w:num w:numId="7" w16cid:durableId="580219423">
    <w:abstractNumId w:val="10"/>
  </w:num>
  <w:num w:numId="8" w16cid:durableId="396822960">
    <w:abstractNumId w:val="4"/>
  </w:num>
  <w:num w:numId="9" w16cid:durableId="427582311">
    <w:abstractNumId w:val="2"/>
  </w:num>
  <w:num w:numId="10" w16cid:durableId="526022365">
    <w:abstractNumId w:val="6"/>
  </w:num>
  <w:num w:numId="11" w16cid:durableId="612715608">
    <w:abstractNumId w:val="7"/>
  </w:num>
  <w:num w:numId="12" w16cid:durableId="4929927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BD"/>
    <w:rsid w:val="000144DA"/>
    <w:rsid w:val="00016D34"/>
    <w:rsid w:val="00061BCD"/>
    <w:rsid w:val="000624BB"/>
    <w:rsid w:val="000671C9"/>
    <w:rsid w:val="000817BB"/>
    <w:rsid w:val="000A2358"/>
    <w:rsid w:val="000A5E37"/>
    <w:rsid w:val="000B64EE"/>
    <w:rsid w:val="000F1759"/>
    <w:rsid w:val="000F4643"/>
    <w:rsid w:val="00112CF4"/>
    <w:rsid w:val="00114A37"/>
    <w:rsid w:val="00122F0E"/>
    <w:rsid w:val="00127CF8"/>
    <w:rsid w:val="001324A3"/>
    <w:rsid w:val="00137394"/>
    <w:rsid w:val="00140138"/>
    <w:rsid w:val="00190BC1"/>
    <w:rsid w:val="001D00BF"/>
    <w:rsid w:val="001D2F61"/>
    <w:rsid w:val="001F25C5"/>
    <w:rsid w:val="00202FCE"/>
    <w:rsid w:val="00210FBF"/>
    <w:rsid w:val="00251501"/>
    <w:rsid w:val="002714E6"/>
    <w:rsid w:val="00290B45"/>
    <w:rsid w:val="00290D35"/>
    <w:rsid w:val="002A1168"/>
    <w:rsid w:val="002A660A"/>
    <w:rsid w:val="002B3504"/>
    <w:rsid w:val="002B52D6"/>
    <w:rsid w:val="002C554C"/>
    <w:rsid w:val="002C6D1A"/>
    <w:rsid w:val="003143C5"/>
    <w:rsid w:val="00314A35"/>
    <w:rsid w:val="00351919"/>
    <w:rsid w:val="00367DB1"/>
    <w:rsid w:val="00371F25"/>
    <w:rsid w:val="0037591B"/>
    <w:rsid w:val="00385C9D"/>
    <w:rsid w:val="00394796"/>
    <w:rsid w:val="003A1CB5"/>
    <w:rsid w:val="003F4407"/>
    <w:rsid w:val="0040497D"/>
    <w:rsid w:val="00421AFA"/>
    <w:rsid w:val="00464DE5"/>
    <w:rsid w:val="00475730"/>
    <w:rsid w:val="00477A9D"/>
    <w:rsid w:val="00490FE9"/>
    <w:rsid w:val="00491A4F"/>
    <w:rsid w:val="004A16DC"/>
    <w:rsid w:val="004A5F4F"/>
    <w:rsid w:val="004B6977"/>
    <w:rsid w:val="004C513C"/>
    <w:rsid w:val="004E1972"/>
    <w:rsid w:val="004F28EB"/>
    <w:rsid w:val="005056A1"/>
    <w:rsid w:val="00511710"/>
    <w:rsid w:val="00512291"/>
    <w:rsid w:val="00521F25"/>
    <w:rsid w:val="0053217A"/>
    <w:rsid w:val="00547AE4"/>
    <w:rsid w:val="00564C3B"/>
    <w:rsid w:val="00565DF0"/>
    <w:rsid w:val="0057426E"/>
    <w:rsid w:val="005B4EE4"/>
    <w:rsid w:val="005B57F4"/>
    <w:rsid w:val="005D6F15"/>
    <w:rsid w:val="005E2DEA"/>
    <w:rsid w:val="005E60AE"/>
    <w:rsid w:val="005F029A"/>
    <w:rsid w:val="006000BB"/>
    <w:rsid w:val="0060307D"/>
    <w:rsid w:val="00612984"/>
    <w:rsid w:val="00650476"/>
    <w:rsid w:val="00671D58"/>
    <w:rsid w:val="006E0272"/>
    <w:rsid w:val="006F35BD"/>
    <w:rsid w:val="00702F50"/>
    <w:rsid w:val="00705D83"/>
    <w:rsid w:val="00710C06"/>
    <w:rsid w:val="00714275"/>
    <w:rsid w:val="0071436B"/>
    <w:rsid w:val="007300CD"/>
    <w:rsid w:val="00731DB5"/>
    <w:rsid w:val="007338AE"/>
    <w:rsid w:val="00755392"/>
    <w:rsid w:val="00770640"/>
    <w:rsid w:val="007706A7"/>
    <w:rsid w:val="00777F79"/>
    <w:rsid w:val="00782D32"/>
    <w:rsid w:val="00783FA2"/>
    <w:rsid w:val="007B2A45"/>
    <w:rsid w:val="007C62D2"/>
    <w:rsid w:val="007E594B"/>
    <w:rsid w:val="00810C7E"/>
    <w:rsid w:val="00812EB2"/>
    <w:rsid w:val="00822970"/>
    <w:rsid w:val="00823C0B"/>
    <w:rsid w:val="008372F6"/>
    <w:rsid w:val="0086787F"/>
    <w:rsid w:val="008679DB"/>
    <w:rsid w:val="00870EC3"/>
    <w:rsid w:val="0089589B"/>
    <w:rsid w:val="008A0FF1"/>
    <w:rsid w:val="00915170"/>
    <w:rsid w:val="009247EB"/>
    <w:rsid w:val="009446FE"/>
    <w:rsid w:val="009666D6"/>
    <w:rsid w:val="0096756C"/>
    <w:rsid w:val="00977893"/>
    <w:rsid w:val="00990650"/>
    <w:rsid w:val="009A13C9"/>
    <w:rsid w:val="009B099D"/>
    <w:rsid w:val="009B1F15"/>
    <w:rsid w:val="009B6D72"/>
    <w:rsid w:val="009D5355"/>
    <w:rsid w:val="009D78BF"/>
    <w:rsid w:val="009E6713"/>
    <w:rsid w:val="009F72DD"/>
    <w:rsid w:val="00A12397"/>
    <w:rsid w:val="00A1783A"/>
    <w:rsid w:val="00A21009"/>
    <w:rsid w:val="00A25922"/>
    <w:rsid w:val="00A40B93"/>
    <w:rsid w:val="00A411CD"/>
    <w:rsid w:val="00A41E7A"/>
    <w:rsid w:val="00A54B03"/>
    <w:rsid w:val="00A56765"/>
    <w:rsid w:val="00A666F6"/>
    <w:rsid w:val="00A72A77"/>
    <w:rsid w:val="00A97AB0"/>
    <w:rsid w:val="00AA1FCE"/>
    <w:rsid w:val="00AB227F"/>
    <w:rsid w:val="00AC1AA0"/>
    <w:rsid w:val="00AC757F"/>
    <w:rsid w:val="00AE238B"/>
    <w:rsid w:val="00AF2807"/>
    <w:rsid w:val="00B02DC4"/>
    <w:rsid w:val="00B06026"/>
    <w:rsid w:val="00B06314"/>
    <w:rsid w:val="00B3084F"/>
    <w:rsid w:val="00B373E9"/>
    <w:rsid w:val="00B42781"/>
    <w:rsid w:val="00B42800"/>
    <w:rsid w:val="00B45C9B"/>
    <w:rsid w:val="00B46104"/>
    <w:rsid w:val="00B75C3E"/>
    <w:rsid w:val="00B93638"/>
    <w:rsid w:val="00BA2B1A"/>
    <w:rsid w:val="00BC105C"/>
    <w:rsid w:val="00BC4070"/>
    <w:rsid w:val="00BC5343"/>
    <w:rsid w:val="00BC6733"/>
    <w:rsid w:val="00BC7931"/>
    <w:rsid w:val="00C06F8F"/>
    <w:rsid w:val="00C07368"/>
    <w:rsid w:val="00C22B73"/>
    <w:rsid w:val="00C23645"/>
    <w:rsid w:val="00C42339"/>
    <w:rsid w:val="00C45540"/>
    <w:rsid w:val="00C735AC"/>
    <w:rsid w:val="00C80D9A"/>
    <w:rsid w:val="00C859C8"/>
    <w:rsid w:val="00C944EA"/>
    <w:rsid w:val="00CA4236"/>
    <w:rsid w:val="00CB5997"/>
    <w:rsid w:val="00CB6646"/>
    <w:rsid w:val="00CC4473"/>
    <w:rsid w:val="00CC671F"/>
    <w:rsid w:val="00CD7D0C"/>
    <w:rsid w:val="00CF204F"/>
    <w:rsid w:val="00D02C8B"/>
    <w:rsid w:val="00D04CBC"/>
    <w:rsid w:val="00D06BE4"/>
    <w:rsid w:val="00D278DC"/>
    <w:rsid w:val="00D408F5"/>
    <w:rsid w:val="00D42CD4"/>
    <w:rsid w:val="00D53AC7"/>
    <w:rsid w:val="00D53DF4"/>
    <w:rsid w:val="00D55B81"/>
    <w:rsid w:val="00D57454"/>
    <w:rsid w:val="00D57544"/>
    <w:rsid w:val="00D60550"/>
    <w:rsid w:val="00D66D5F"/>
    <w:rsid w:val="00D70368"/>
    <w:rsid w:val="00D85862"/>
    <w:rsid w:val="00DF0BE2"/>
    <w:rsid w:val="00E1597C"/>
    <w:rsid w:val="00E3350D"/>
    <w:rsid w:val="00E363BF"/>
    <w:rsid w:val="00E413BA"/>
    <w:rsid w:val="00E47021"/>
    <w:rsid w:val="00E60D38"/>
    <w:rsid w:val="00E60EA7"/>
    <w:rsid w:val="00E67DB9"/>
    <w:rsid w:val="00E74CD2"/>
    <w:rsid w:val="00E74EE6"/>
    <w:rsid w:val="00EA408F"/>
    <w:rsid w:val="00EC3A0E"/>
    <w:rsid w:val="00ED4ABE"/>
    <w:rsid w:val="00ED6263"/>
    <w:rsid w:val="00EE19DD"/>
    <w:rsid w:val="00EE4EA5"/>
    <w:rsid w:val="00EF33E0"/>
    <w:rsid w:val="00EF412E"/>
    <w:rsid w:val="00F00EF7"/>
    <w:rsid w:val="00F014C4"/>
    <w:rsid w:val="00F069D4"/>
    <w:rsid w:val="00F06AE1"/>
    <w:rsid w:val="00F10195"/>
    <w:rsid w:val="00F267B3"/>
    <w:rsid w:val="00F3196B"/>
    <w:rsid w:val="00F31A03"/>
    <w:rsid w:val="00F35D93"/>
    <w:rsid w:val="00F60445"/>
    <w:rsid w:val="00F65D1B"/>
    <w:rsid w:val="00F7376E"/>
    <w:rsid w:val="00FA5DBA"/>
    <w:rsid w:val="00FB2F73"/>
    <w:rsid w:val="00FD1F09"/>
    <w:rsid w:val="00FD41C6"/>
    <w:rsid w:val="00FD5587"/>
    <w:rsid w:val="00FF74EC"/>
    <w:rsid w:val="00FF7EC7"/>
    <w:rsid w:val="02B9A0D6"/>
    <w:rsid w:val="03207F85"/>
    <w:rsid w:val="042F1212"/>
    <w:rsid w:val="047ECCF7"/>
    <w:rsid w:val="04AF8E75"/>
    <w:rsid w:val="04BC4FE6"/>
    <w:rsid w:val="04F7BB66"/>
    <w:rsid w:val="057A5EC9"/>
    <w:rsid w:val="060073A9"/>
    <w:rsid w:val="06CF25B5"/>
    <w:rsid w:val="07158802"/>
    <w:rsid w:val="073FF785"/>
    <w:rsid w:val="083B822B"/>
    <w:rsid w:val="0956E5CB"/>
    <w:rsid w:val="0A623C89"/>
    <w:rsid w:val="0ADC5056"/>
    <w:rsid w:val="0ADE8829"/>
    <w:rsid w:val="0BA476B1"/>
    <w:rsid w:val="0E857216"/>
    <w:rsid w:val="0F20B9A3"/>
    <w:rsid w:val="0F23DB5D"/>
    <w:rsid w:val="0FD50541"/>
    <w:rsid w:val="100AEB6D"/>
    <w:rsid w:val="11736558"/>
    <w:rsid w:val="11E16852"/>
    <w:rsid w:val="12A1294A"/>
    <w:rsid w:val="12BAB90D"/>
    <w:rsid w:val="14966194"/>
    <w:rsid w:val="149714FC"/>
    <w:rsid w:val="16745FE2"/>
    <w:rsid w:val="16E95F90"/>
    <w:rsid w:val="1751FA68"/>
    <w:rsid w:val="17B3A589"/>
    <w:rsid w:val="1881B5B5"/>
    <w:rsid w:val="18F2D24B"/>
    <w:rsid w:val="193DC1FC"/>
    <w:rsid w:val="19459BB9"/>
    <w:rsid w:val="197AB897"/>
    <w:rsid w:val="19BF180E"/>
    <w:rsid w:val="1A1549D4"/>
    <w:rsid w:val="1A60023F"/>
    <w:rsid w:val="1B05A318"/>
    <w:rsid w:val="1C7CA503"/>
    <w:rsid w:val="1DA0D0FD"/>
    <w:rsid w:val="1DA2DAD6"/>
    <w:rsid w:val="1DF4935D"/>
    <w:rsid w:val="1F97664C"/>
    <w:rsid w:val="1FF31596"/>
    <w:rsid w:val="207DAA40"/>
    <w:rsid w:val="20BF69B2"/>
    <w:rsid w:val="210F7D51"/>
    <w:rsid w:val="220F511F"/>
    <w:rsid w:val="2228081F"/>
    <w:rsid w:val="23A4657E"/>
    <w:rsid w:val="23D991B0"/>
    <w:rsid w:val="2518F9D9"/>
    <w:rsid w:val="25353B9F"/>
    <w:rsid w:val="2554D54D"/>
    <w:rsid w:val="265720DC"/>
    <w:rsid w:val="268F1C03"/>
    <w:rsid w:val="27D3C447"/>
    <w:rsid w:val="27E8BE3B"/>
    <w:rsid w:val="280CA15D"/>
    <w:rsid w:val="28C9CAD2"/>
    <w:rsid w:val="2B23B468"/>
    <w:rsid w:val="2B384843"/>
    <w:rsid w:val="2CCB1CB3"/>
    <w:rsid w:val="2E199699"/>
    <w:rsid w:val="2EB953A2"/>
    <w:rsid w:val="2EEBDD82"/>
    <w:rsid w:val="2F33B377"/>
    <w:rsid w:val="2FE8BBF0"/>
    <w:rsid w:val="30CA6166"/>
    <w:rsid w:val="33670A59"/>
    <w:rsid w:val="337C82C5"/>
    <w:rsid w:val="361638ED"/>
    <w:rsid w:val="37F146CD"/>
    <w:rsid w:val="38407F79"/>
    <w:rsid w:val="38A65D5C"/>
    <w:rsid w:val="38CC6E8A"/>
    <w:rsid w:val="3A3F01B2"/>
    <w:rsid w:val="3B62601F"/>
    <w:rsid w:val="3BF25B46"/>
    <w:rsid w:val="3C312B17"/>
    <w:rsid w:val="3CF52F4D"/>
    <w:rsid w:val="3D1155D6"/>
    <w:rsid w:val="3D6D2230"/>
    <w:rsid w:val="3DD73C7E"/>
    <w:rsid w:val="3EC3F031"/>
    <w:rsid w:val="3F4532E0"/>
    <w:rsid w:val="3F9AFEF2"/>
    <w:rsid w:val="409D9EDC"/>
    <w:rsid w:val="40C5A52B"/>
    <w:rsid w:val="40E92190"/>
    <w:rsid w:val="41DF0F92"/>
    <w:rsid w:val="42789B64"/>
    <w:rsid w:val="4334229C"/>
    <w:rsid w:val="43C4CF10"/>
    <w:rsid w:val="442F7CC7"/>
    <w:rsid w:val="45BB550E"/>
    <w:rsid w:val="467C67B8"/>
    <w:rsid w:val="46ACE42E"/>
    <w:rsid w:val="470DDD7A"/>
    <w:rsid w:val="470E9C30"/>
    <w:rsid w:val="473EB07A"/>
    <w:rsid w:val="486B0FE0"/>
    <w:rsid w:val="49E8EB53"/>
    <w:rsid w:val="4A6DD244"/>
    <w:rsid w:val="4A7ACBAE"/>
    <w:rsid w:val="4B0E6972"/>
    <w:rsid w:val="4BF0C344"/>
    <w:rsid w:val="4C12219D"/>
    <w:rsid w:val="4C1EA36F"/>
    <w:rsid w:val="4C30CC65"/>
    <w:rsid w:val="4C652C35"/>
    <w:rsid w:val="4DA40C3A"/>
    <w:rsid w:val="504F81B7"/>
    <w:rsid w:val="505D2FF0"/>
    <w:rsid w:val="51364BC1"/>
    <w:rsid w:val="520379D6"/>
    <w:rsid w:val="53277851"/>
    <w:rsid w:val="536E046F"/>
    <w:rsid w:val="54111B2B"/>
    <w:rsid w:val="5669CF25"/>
    <w:rsid w:val="57C38AAF"/>
    <w:rsid w:val="5852B6DD"/>
    <w:rsid w:val="58BE0B3D"/>
    <w:rsid w:val="594F5FB7"/>
    <w:rsid w:val="5A7DA35D"/>
    <w:rsid w:val="5B65BF3C"/>
    <w:rsid w:val="5B73142F"/>
    <w:rsid w:val="5C1591F7"/>
    <w:rsid w:val="5D07E891"/>
    <w:rsid w:val="6006B867"/>
    <w:rsid w:val="60EB9247"/>
    <w:rsid w:val="613EAEC8"/>
    <w:rsid w:val="64C1C2B1"/>
    <w:rsid w:val="651F534A"/>
    <w:rsid w:val="65670CC0"/>
    <w:rsid w:val="66334762"/>
    <w:rsid w:val="66B0CEA8"/>
    <w:rsid w:val="678A3A4E"/>
    <w:rsid w:val="684592A4"/>
    <w:rsid w:val="69E81B0E"/>
    <w:rsid w:val="6A164762"/>
    <w:rsid w:val="6A189EB2"/>
    <w:rsid w:val="6AF0D1CB"/>
    <w:rsid w:val="6B515894"/>
    <w:rsid w:val="6CB8D565"/>
    <w:rsid w:val="6D4AFE43"/>
    <w:rsid w:val="6D51D30B"/>
    <w:rsid w:val="6DE7FAFA"/>
    <w:rsid w:val="6F863C6B"/>
    <w:rsid w:val="70FCA841"/>
    <w:rsid w:val="71E290AE"/>
    <w:rsid w:val="72CD846D"/>
    <w:rsid w:val="73048EF1"/>
    <w:rsid w:val="74293DC3"/>
    <w:rsid w:val="74A42A39"/>
    <w:rsid w:val="75061BB2"/>
    <w:rsid w:val="75A3FF29"/>
    <w:rsid w:val="766781B4"/>
    <w:rsid w:val="76C7D393"/>
    <w:rsid w:val="78513517"/>
    <w:rsid w:val="7863A3F4"/>
    <w:rsid w:val="78E9B331"/>
    <w:rsid w:val="7ADE5EFB"/>
    <w:rsid w:val="7AFD0FD1"/>
    <w:rsid w:val="7BEAEDCB"/>
    <w:rsid w:val="7BF4EFCA"/>
    <w:rsid w:val="7C918F2C"/>
    <w:rsid w:val="7CA75882"/>
    <w:rsid w:val="7D2D2F53"/>
    <w:rsid w:val="7F00A008"/>
    <w:rsid w:val="7F3A5B05"/>
    <w:rsid w:val="7FA15863"/>
    <w:rsid w:val="7FBA2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18E3"/>
  <w15:docId w15:val="{22CC86EE-C789-4694-A30C-A977EC50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111"/>
      <w:outlineLvl w:val="0"/>
    </w:pPr>
    <w:rPr>
      <w:b/>
      <w:bCs/>
    </w:rPr>
  </w:style>
  <w:style w:type="paragraph" w:styleId="Heading2">
    <w:name w:val="heading 2"/>
    <w:basedOn w:val="Normal"/>
    <w:next w:val="Normal"/>
    <w:link w:val="Heading2Char"/>
    <w:uiPriority w:val="9"/>
    <w:semiHidden/>
    <w:unhideWhenUsed/>
    <w:qFormat/>
    <w:rsid w:val="00565DF0"/>
    <w:pPr>
      <w:keepNext/>
      <w:keepLines/>
      <w:numPr>
        <w:ilvl w:val="1"/>
        <w:numId w:val="10"/>
      </w:numPr>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65DF0"/>
    <w:pPr>
      <w:keepNext/>
      <w:keepLines/>
      <w:numPr>
        <w:ilvl w:val="2"/>
        <w:numId w:val="10"/>
      </w:numPr>
      <w:spacing w:before="4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65DF0"/>
    <w:pPr>
      <w:keepNext/>
      <w:keepLines/>
      <w:numPr>
        <w:ilvl w:val="3"/>
        <w:numId w:val="10"/>
      </w:numPr>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565DF0"/>
    <w:pPr>
      <w:keepNext/>
      <w:keepLines/>
      <w:numPr>
        <w:ilvl w:val="4"/>
        <w:numId w:val="10"/>
      </w:numPr>
      <w:spacing w:before="4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565DF0"/>
    <w:pPr>
      <w:keepNext/>
      <w:keepLines/>
      <w:numPr>
        <w:ilvl w:val="5"/>
        <w:numId w:val="10"/>
      </w:numPr>
      <w:spacing w:before="4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565DF0"/>
    <w:pPr>
      <w:keepNext/>
      <w:keepLines/>
      <w:numPr>
        <w:ilvl w:val="6"/>
        <w:numId w:val="10"/>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565DF0"/>
    <w:pPr>
      <w:keepNext/>
      <w:keepLines/>
      <w:numPr>
        <w:ilvl w:val="7"/>
        <w:numId w:val="1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5DF0"/>
    <w:pPr>
      <w:keepNext/>
      <w:keepLines/>
      <w:numPr>
        <w:ilvl w:val="8"/>
        <w:numId w:val="1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2" w:right="113" w:hanging="361"/>
    </w:pPr>
  </w:style>
  <w:style w:type="paragraph" w:styleId="TableParagraph" w:customStyle="1">
    <w:name w:val="Table Paragraph"/>
    <w:basedOn w:val="Normal"/>
    <w:uiPriority w:val="1"/>
    <w:qFormat/>
  </w:style>
  <w:style w:type="paragraph" w:styleId="Revision">
    <w:name w:val="Revision"/>
    <w:hidden/>
    <w:uiPriority w:val="99"/>
    <w:semiHidden/>
    <w:rsid w:val="0040497D"/>
    <w:pPr>
      <w:widowControl/>
      <w:autoSpaceDE/>
      <w:autoSpaceDN/>
    </w:pPr>
    <w:rPr>
      <w:rFonts w:ascii="Arial" w:hAnsi="Arial" w:eastAsia="Arial" w:cs="Arial"/>
    </w:rPr>
  </w:style>
  <w:style w:type="paragraph" w:styleId="EPONormal" w:customStyle="1">
    <w:name w:val="EPO Normal"/>
    <w:qFormat/>
    <w:rsid w:val="00565DF0"/>
    <w:pPr>
      <w:spacing w:line="287" w:lineRule="auto"/>
      <w:jc w:val="both"/>
    </w:pPr>
    <w:rPr>
      <w:rFonts w:ascii="Arial" w:hAnsi="Arial" w:eastAsia="Arial" w:cs="Arial"/>
    </w:rPr>
  </w:style>
  <w:style w:type="paragraph" w:styleId="EPOSubheading11pt" w:customStyle="1">
    <w:name w:val="EPO Subheading 11pt"/>
    <w:next w:val="EPONormal"/>
    <w:qFormat/>
    <w:rsid w:val="00565DF0"/>
    <w:pPr>
      <w:keepNext/>
      <w:spacing w:before="220" w:after="220" w:line="287" w:lineRule="auto"/>
    </w:pPr>
    <w:rPr>
      <w:rFonts w:ascii="Arial" w:hAnsi="Arial" w:eastAsia="Arial" w:cs="Arial"/>
      <w:b/>
    </w:rPr>
  </w:style>
  <w:style w:type="paragraph" w:styleId="EPOFootnote" w:customStyle="1">
    <w:name w:val="EPO Footnote"/>
    <w:qFormat/>
    <w:rsid w:val="00565DF0"/>
    <w:pPr>
      <w:spacing w:line="287" w:lineRule="auto"/>
      <w:jc w:val="both"/>
    </w:pPr>
    <w:rPr>
      <w:rFonts w:ascii="Arial" w:hAnsi="Arial" w:eastAsia="Arial" w:cs="Arial"/>
      <w:sz w:val="16"/>
    </w:rPr>
  </w:style>
  <w:style w:type="paragraph" w:styleId="EPOFooter" w:customStyle="1">
    <w:name w:val="EPO Footer"/>
    <w:qFormat/>
    <w:rsid w:val="00565DF0"/>
    <w:pPr>
      <w:spacing w:line="287" w:lineRule="auto"/>
    </w:pPr>
    <w:rPr>
      <w:rFonts w:ascii="Arial" w:hAnsi="Arial" w:eastAsia="Arial" w:cs="Arial"/>
      <w:sz w:val="16"/>
    </w:rPr>
  </w:style>
  <w:style w:type="paragraph" w:styleId="EPOHeader" w:customStyle="1">
    <w:name w:val="EPO Header"/>
    <w:qFormat/>
    <w:rsid w:val="00565DF0"/>
    <w:pPr>
      <w:spacing w:line="287" w:lineRule="auto"/>
    </w:pPr>
    <w:rPr>
      <w:rFonts w:ascii="Arial" w:hAnsi="Arial" w:eastAsia="Arial" w:cs="Arial"/>
      <w:sz w:val="16"/>
    </w:rPr>
  </w:style>
  <w:style w:type="paragraph" w:styleId="EPOSubheading14pt" w:customStyle="1">
    <w:name w:val="EPO Subheading 14pt"/>
    <w:next w:val="EPONormal"/>
    <w:qFormat/>
    <w:rsid w:val="00565DF0"/>
    <w:pPr>
      <w:keepNext/>
      <w:spacing w:before="220" w:after="220" w:line="287" w:lineRule="auto"/>
    </w:pPr>
    <w:rPr>
      <w:rFonts w:ascii="Arial" w:hAnsi="Arial" w:eastAsia="Arial" w:cs="Arial"/>
      <w:b/>
      <w:sz w:val="28"/>
    </w:rPr>
  </w:style>
  <w:style w:type="paragraph" w:styleId="EPOAnnex" w:customStyle="1">
    <w:name w:val="EPO Annex"/>
    <w:next w:val="EPONormal"/>
    <w:qFormat/>
    <w:rsid w:val="00565DF0"/>
    <w:pPr>
      <w:pageBreakBefore/>
      <w:numPr>
        <w:numId w:val="2"/>
      </w:numPr>
      <w:tabs>
        <w:tab w:val="clear" w:pos="567"/>
        <w:tab w:val="left" w:pos="1417"/>
      </w:tabs>
      <w:spacing w:after="220" w:line="287" w:lineRule="auto"/>
      <w:ind w:left="1417" w:hanging="1417"/>
    </w:pPr>
    <w:rPr>
      <w:rFonts w:ascii="Arial" w:hAnsi="Arial" w:eastAsia="Arial" w:cs="Arial"/>
      <w:b/>
      <w:sz w:val="28"/>
    </w:rPr>
  </w:style>
  <w:style w:type="character" w:styleId="Heading2Char" w:customStyle="1">
    <w:name w:val="Heading 2 Char"/>
    <w:basedOn w:val="DefaultParagraphFont"/>
    <w:link w:val="Heading2"/>
    <w:uiPriority w:val="9"/>
    <w:semiHidden/>
    <w:rsid w:val="00565DF0"/>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uiPriority w:val="9"/>
    <w:semiHidden/>
    <w:rsid w:val="00565DF0"/>
    <w:rPr>
      <w:rFonts w:asciiTheme="majorHAnsi" w:hAnsiTheme="majorHAnsi" w:eastAsiaTheme="majorEastAsia" w:cstheme="majorBidi"/>
      <w:color w:val="243F60" w:themeColor="accent1" w:themeShade="7F"/>
      <w:sz w:val="24"/>
      <w:szCs w:val="24"/>
    </w:rPr>
  </w:style>
  <w:style w:type="character" w:styleId="Heading4Char" w:customStyle="1">
    <w:name w:val="Heading 4 Char"/>
    <w:basedOn w:val="DefaultParagraphFont"/>
    <w:link w:val="Heading4"/>
    <w:uiPriority w:val="9"/>
    <w:semiHidden/>
    <w:rsid w:val="00565DF0"/>
    <w:rPr>
      <w:rFonts w:asciiTheme="majorHAnsi" w:hAnsiTheme="majorHAnsi" w:eastAsiaTheme="majorEastAsia" w:cstheme="majorBidi"/>
      <w:i/>
      <w:iCs/>
      <w:color w:val="365F91" w:themeColor="accent1" w:themeShade="BF"/>
    </w:rPr>
  </w:style>
  <w:style w:type="character" w:styleId="Heading5Char" w:customStyle="1">
    <w:name w:val="Heading 5 Char"/>
    <w:basedOn w:val="DefaultParagraphFont"/>
    <w:link w:val="Heading5"/>
    <w:uiPriority w:val="9"/>
    <w:semiHidden/>
    <w:rsid w:val="00565DF0"/>
    <w:rPr>
      <w:rFonts w:asciiTheme="majorHAnsi" w:hAnsiTheme="majorHAnsi" w:eastAsiaTheme="majorEastAsia" w:cstheme="majorBidi"/>
      <w:color w:val="365F91" w:themeColor="accent1" w:themeShade="BF"/>
    </w:rPr>
  </w:style>
  <w:style w:type="character" w:styleId="Heading6Char" w:customStyle="1">
    <w:name w:val="Heading 6 Char"/>
    <w:basedOn w:val="DefaultParagraphFont"/>
    <w:link w:val="Heading6"/>
    <w:uiPriority w:val="9"/>
    <w:semiHidden/>
    <w:rsid w:val="00565DF0"/>
    <w:rPr>
      <w:rFonts w:asciiTheme="majorHAnsi" w:hAnsiTheme="majorHAnsi" w:eastAsiaTheme="majorEastAsia" w:cstheme="majorBidi"/>
      <w:color w:val="243F60" w:themeColor="accent1" w:themeShade="7F"/>
    </w:rPr>
  </w:style>
  <w:style w:type="character" w:styleId="Heading7Char" w:customStyle="1">
    <w:name w:val="Heading 7 Char"/>
    <w:basedOn w:val="DefaultParagraphFont"/>
    <w:link w:val="Heading7"/>
    <w:uiPriority w:val="9"/>
    <w:semiHidden/>
    <w:rsid w:val="00565DF0"/>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565DF0"/>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65DF0"/>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565DF0"/>
    <w:pPr>
      <w:spacing w:after="220" w:line="287" w:lineRule="auto"/>
    </w:pPr>
    <w:rPr>
      <w:rFonts w:ascii="Arial" w:hAnsi="Arial" w:eastAsia="Arial" w:cs="Arial"/>
      <w:b/>
      <w:sz w:val="50"/>
    </w:rPr>
  </w:style>
  <w:style w:type="paragraph" w:styleId="EPOTitle2-18pt" w:customStyle="1">
    <w:name w:val="EPO Title 2 - 18pt"/>
    <w:next w:val="EPONormal"/>
    <w:qFormat/>
    <w:rsid w:val="00565DF0"/>
    <w:pPr>
      <w:spacing w:after="220" w:line="287" w:lineRule="auto"/>
    </w:pPr>
    <w:rPr>
      <w:rFonts w:ascii="Arial" w:hAnsi="Arial" w:eastAsia="Arial" w:cs="Arial"/>
      <w:b/>
      <w:sz w:val="36"/>
    </w:rPr>
  </w:style>
  <w:style w:type="paragraph" w:styleId="EPOHeading1" w:customStyle="1">
    <w:name w:val="EPO Heading 1"/>
    <w:next w:val="EPONormal"/>
    <w:qFormat/>
    <w:rsid w:val="00565DF0"/>
    <w:pPr>
      <w:keepNext/>
      <w:numPr>
        <w:numId w:val="6"/>
      </w:numPr>
      <w:spacing w:before="220" w:after="220" w:line="287" w:lineRule="auto"/>
      <w:outlineLvl w:val="0"/>
    </w:pPr>
    <w:rPr>
      <w:rFonts w:ascii="Arial" w:hAnsi="Arial" w:eastAsia="Arial" w:cs="Arial"/>
      <w:b/>
      <w:sz w:val="28"/>
    </w:rPr>
  </w:style>
  <w:style w:type="paragraph" w:styleId="EPOHeading2" w:customStyle="1">
    <w:name w:val="EPO Heading 2"/>
    <w:next w:val="EPONormal"/>
    <w:qFormat/>
    <w:rsid w:val="00565DF0"/>
    <w:pPr>
      <w:keepNext/>
      <w:numPr>
        <w:ilvl w:val="1"/>
        <w:numId w:val="6"/>
      </w:numPr>
      <w:spacing w:before="220" w:after="220" w:line="287" w:lineRule="auto"/>
      <w:outlineLvl w:val="1"/>
    </w:pPr>
    <w:rPr>
      <w:rFonts w:ascii="Arial" w:hAnsi="Arial" w:eastAsia="Arial" w:cs="Arial"/>
      <w:b/>
      <w:sz w:val="24"/>
    </w:rPr>
  </w:style>
  <w:style w:type="paragraph" w:styleId="EPOHeading3" w:customStyle="1">
    <w:name w:val="EPO Heading 3"/>
    <w:next w:val="EPONormal"/>
    <w:qFormat/>
    <w:rsid w:val="00565DF0"/>
    <w:pPr>
      <w:keepNext/>
      <w:numPr>
        <w:ilvl w:val="2"/>
        <w:numId w:val="6"/>
      </w:numPr>
      <w:spacing w:before="220" w:after="220" w:line="287" w:lineRule="auto"/>
      <w:outlineLvl w:val="2"/>
    </w:pPr>
    <w:rPr>
      <w:rFonts w:ascii="Arial" w:hAnsi="Arial" w:eastAsia="Arial" w:cs="Arial"/>
      <w:b/>
    </w:rPr>
  </w:style>
  <w:style w:type="paragraph" w:styleId="EPOHeading4" w:customStyle="1">
    <w:name w:val="EPO Heading 4"/>
    <w:next w:val="EPONormal"/>
    <w:qFormat/>
    <w:rsid w:val="00565DF0"/>
    <w:pPr>
      <w:keepNext/>
      <w:numPr>
        <w:ilvl w:val="3"/>
        <w:numId w:val="6"/>
      </w:numPr>
      <w:spacing w:before="220" w:after="220" w:line="287" w:lineRule="auto"/>
      <w:outlineLvl w:val="3"/>
    </w:pPr>
    <w:rPr>
      <w:rFonts w:ascii="Arial" w:hAnsi="Arial" w:eastAsia="Arial" w:cs="Arial"/>
      <w:b/>
    </w:rPr>
  </w:style>
  <w:style w:type="paragraph" w:styleId="EPOBullet1stlevel" w:customStyle="1">
    <w:name w:val="EPO Bullet 1st level"/>
    <w:qFormat/>
    <w:rsid w:val="00565DF0"/>
    <w:pPr>
      <w:numPr>
        <w:numId w:val="7"/>
      </w:numPr>
      <w:tabs>
        <w:tab w:val="clear" w:pos="1134"/>
      </w:tabs>
      <w:spacing w:line="287" w:lineRule="auto"/>
      <w:ind w:left="397" w:hanging="397"/>
      <w:jc w:val="both"/>
    </w:pPr>
    <w:rPr>
      <w:rFonts w:ascii="Arial" w:hAnsi="Arial" w:eastAsia="Arial" w:cs="Arial"/>
    </w:rPr>
  </w:style>
  <w:style w:type="paragraph" w:styleId="EPOBullet2ndlevel" w:customStyle="1">
    <w:name w:val="EPO Bullet 2nd level"/>
    <w:qFormat/>
    <w:rsid w:val="00565DF0"/>
    <w:pPr>
      <w:numPr>
        <w:numId w:val="8"/>
      </w:numPr>
      <w:tabs>
        <w:tab w:val="clear" w:pos="1701"/>
      </w:tabs>
      <w:spacing w:line="287" w:lineRule="auto"/>
      <w:ind w:left="794" w:hanging="397"/>
      <w:jc w:val="both"/>
    </w:pPr>
    <w:rPr>
      <w:rFonts w:ascii="Arial" w:hAnsi="Arial" w:eastAsia="Arial" w:cs="Arial"/>
    </w:rPr>
  </w:style>
  <w:style w:type="paragraph" w:styleId="EPOList-numbers" w:customStyle="1">
    <w:name w:val="EPO List - numbers"/>
    <w:qFormat/>
    <w:rsid w:val="00565DF0"/>
    <w:pPr>
      <w:numPr>
        <w:numId w:val="9"/>
      </w:numPr>
      <w:tabs>
        <w:tab w:val="left" w:pos="397"/>
      </w:tabs>
      <w:spacing w:line="287" w:lineRule="auto"/>
      <w:jc w:val="both"/>
    </w:pPr>
    <w:rPr>
      <w:rFonts w:ascii="Arial" w:hAnsi="Arial" w:eastAsia="Arial" w:cs="Arial"/>
    </w:rPr>
  </w:style>
  <w:style w:type="paragraph" w:styleId="EPOList-letters" w:customStyle="1">
    <w:name w:val="EPO List - letters"/>
    <w:qFormat/>
    <w:rsid w:val="00565DF0"/>
    <w:pPr>
      <w:numPr>
        <w:numId w:val="10"/>
      </w:numPr>
      <w:tabs>
        <w:tab w:val="left" w:pos="397"/>
      </w:tabs>
      <w:spacing w:line="287" w:lineRule="auto"/>
      <w:jc w:val="both"/>
    </w:pPr>
    <w:rPr>
      <w:rFonts w:ascii="Arial" w:hAnsi="Arial" w:eastAsia="Arial" w:cs="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sid w:val="00A12397"/>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A12397"/>
    <w:rPr>
      <w:b/>
      <w:bCs/>
    </w:rPr>
  </w:style>
  <w:style w:type="character" w:styleId="CommentSubjectChar" w:customStyle="1">
    <w:name w:val="Comment Subject Char"/>
    <w:basedOn w:val="CommentTextChar"/>
    <w:link w:val="CommentSubject"/>
    <w:uiPriority w:val="99"/>
    <w:semiHidden/>
    <w:rsid w:val="00A12397"/>
    <w:rPr>
      <w:rFonts w:ascii="Arial" w:hAnsi="Arial" w:eastAsia="Arial" w:cs="Arial"/>
      <w:b/>
      <w:bCs/>
      <w:sz w:val="20"/>
      <w:szCs w:val="20"/>
    </w:rPr>
  </w:style>
  <w:style w:type="character" w:styleId="Hyperlink">
    <w:name w:val="Hyperlink"/>
    <w:basedOn w:val="DefaultParagraphFont"/>
    <w:uiPriority w:val="99"/>
    <w:unhideWhenUsed/>
    <w:rPr>
      <w:color w:val="0000FF" w:themeColor="hyperlink"/>
      <w:u w:val="single"/>
    </w:rPr>
  </w:style>
  <w:style w:type="character" w:styleId="normaltextrun" w:customStyle="1">
    <w:name w:val="normaltextrun"/>
    <w:basedOn w:val="DefaultParagraphFont"/>
    <w:rsid w:val="00FB2F73"/>
  </w:style>
  <w:style w:type="paragraph" w:styleId="paragraph" w:customStyle="1">
    <w:name w:val="paragraph"/>
    <w:basedOn w:val="Normal"/>
    <w:rsid w:val="007B2A45"/>
    <w:pPr>
      <w:widowControl/>
      <w:autoSpaceDE/>
      <w:autoSpaceDN/>
      <w:spacing w:before="100" w:beforeAutospacing="1" w:after="100" w:afterAutospacing="1"/>
    </w:pPr>
    <w:rPr>
      <w:rFonts w:ascii="Times New Roman" w:hAnsi="Times New Roman" w:eastAsia="Times New Roman" w:cs="Times New Roman"/>
      <w:sz w:val="24"/>
      <w:szCs w:val="24"/>
      <w:lang w:eastAsia="el-GR"/>
    </w:rPr>
  </w:style>
  <w:style w:type="character" w:styleId="eop" w:customStyle="1">
    <w:name w:val="eop"/>
    <w:basedOn w:val="DefaultParagraphFont"/>
    <w:rsid w:val="007B2A45"/>
  </w:style>
  <w:style w:type="character" w:styleId="UnresolvedMention">
    <w:name w:val="Unresolved Mention"/>
    <w:basedOn w:val="DefaultParagraphFont"/>
    <w:uiPriority w:val="99"/>
    <w:semiHidden/>
    <w:unhideWhenUsed/>
    <w:rsid w:val="00394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82317">
      <w:bodyDiv w:val="1"/>
      <w:marLeft w:val="0"/>
      <w:marRight w:val="0"/>
      <w:marTop w:val="0"/>
      <w:marBottom w:val="0"/>
      <w:divBdr>
        <w:top w:val="none" w:sz="0" w:space="0" w:color="auto"/>
        <w:left w:val="none" w:sz="0" w:space="0" w:color="auto"/>
        <w:bottom w:val="none" w:sz="0" w:space="0" w:color="auto"/>
        <w:right w:val="none" w:sz="0" w:space="0" w:color="auto"/>
      </w:divBdr>
      <w:divsChild>
        <w:div w:id="471946869">
          <w:marLeft w:val="0"/>
          <w:marRight w:val="0"/>
          <w:marTop w:val="0"/>
          <w:marBottom w:val="0"/>
          <w:divBdr>
            <w:top w:val="none" w:sz="0" w:space="0" w:color="auto"/>
            <w:left w:val="none" w:sz="0" w:space="0" w:color="auto"/>
            <w:bottom w:val="none" w:sz="0" w:space="0" w:color="auto"/>
            <w:right w:val="none" w:sz="0" w:space="0" w:color="auto"/>
          </w:divBdr>
        </w:div>
        <w:div w:id="2024043968">
          <w:marLeft w:val="0"/>
          <w:marRight w:val="0"/>
          <w:marTop w:val="0"/>
          <w:marBottom w:val="0"/>
          <w:divBdr>
            <w:top w:val="none" w:sz="0" w:space="0" w:color="auto"/>
            <w:left w:val="none" w:sz="0" w:space="0" w:color="auto"/>
            <w:bottom w:val="none" w:sz="0" w:space="0" w:color="auto"/>
            <w:right w:val="none" w:sz="0" w:space="0" w:color="auto"/>
          </w:divBdr>
        </w:div>
      </w:divsChild>
    </w:div>
    <w:div w:id="1744448670">
      <w:bodyDiv w:val="1"/>
      <w:marLeft w:val="0"/>
      <w:marRight w:val="0"/>
      <w:marTop w:val="0"/>
      <w:marBottom w:val="0"/>
      <w:divBdr>
        <w:top w:val="none" w:sz="0" w:space="0" w:color="auto"/>
        <w:left w:val="none" w:sz="0" w:space="0" w:color="auto"/>
        <w:bottom w:val="none" w:sz="0" w:space="0" w:color="auto"/>
        <w:right w:val="none" w:sz="0" w:space="0" w:color="auto"/>
      </w:divBdr>
      <w:divsChild>
        <w:div w:id="1217473335">
          <w:marLeft w:val="0"/>
          <w:marRight w:val="0"/>
          <w:marTop w:val="0"/>
          <w:marBottom w:val="0"/>
          <w:divBdr>
            <w:top w:val="none" w:sz="0" w:space="0" w:color="auto"/>
            <w:left w:val="none" w:sz="0" w:space="0" w:color="auto"/>
            <w:bottom w:val="none" w:sz="0" w:space="0" w:color="auto"/>
            <w:right w:val="none" w:sz="0" w:space="0" w:color="auto"/>
          </w:divBdr>
        </w:div>
        <w:div w:id="13999351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epo.org/applying/european/unitary_de.html"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new.epo.org/de/statistics-centre%23/unitary-patent"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press@epo.org" TargetMode="Externa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hyperlink" Target="https://www.unified-patent-court.org/de" TargetMode="External" Id="rId15" /><Relationship Type="http://schemas.openxmlformats.org/officeDocument/2006/relationships/image" Target="media/image1.png" Id="rId10" /><Relationship Type="http://schemas.microsoft.com/office/2019/05/relationships/documenttasks" Target="documenttasks/documenttasks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epo.org/searching-for-patents/legal/register_de.html" TargetMode="External" Id="rId14" /><Relationship Type="http://schemas.openxmlformats.org/officeDocument/2006/relationships/hyperlink" Target="https://new.epo.org/de/node/18205" TargetMode="External" Id="Re9504cefdf544e07" /></Relationships>
</file>

<file path=word/documenttasks/documenttasks1.xml><?xml version="1.0" encoding="utf-8"?>
<t:Tasks xmlns:t="http://schemas.microsoft.com/office/tasks/2019/documenttasks" xmlns:oel="http://schemas.microsoft.com/office/2019/extlst">
  <t:Task id="{46EC4821-F19F-4B4C-AEF4-E0FCA40DBD13}">
    <t:Anchor>
      <t:Comment id="49394756"/>
    </t:Anchor>
    <t:History>
      <t:Event id="{7ED0EC1B-DFC2-48A4-94AB-76C4A04B817D}" time="2023-05-31T18:35:25.935Z">
        <t:Attribution userId="S::lsixto@epo.org::6ee5da96-1fb0-4e99-b876-8d8667b91400" userProvider="AD" userName="Lucia Sixto Barcia"/>
        <t:Anchor>
          <t:Comment id="49394756"/>
        </t:Anchor>
        <t:Create/>
      </t:Event>
      <t:Event id="{3A894380-AA63-446B-912F-E1DEBC93BA68}" time="2023-05-31T18:35:25.935Z">
        <t:Attribution userId="S::lsixto@epo.org::6ee5da96-1fb0-4e99-b876-8d8667b91400" userProvider="AD" userName="Lucia Sixto Barcia"/>
        <t:Anchor>
          <t:Comment id="49394756"/>
        </t:Anchor>
        <t:Assign userId="S::mtomprou.external@epo.org::940969d4-2bca-48e2-8605-f43ac33f25ad" userProvider="AD" userName="Maria Eleni Tomprou (External)"/>
      </t:Event>
      <t:Event id="{7E8AA1D4-0038-46A7-B8F8-0D59B98F5DD2}" time="2023-05-31T18:35:25.935Z">
        <t:Attribution userId="S::lsixto@epo.org::6ee5da96-1fb0-4e99-b876-8d8667b91400" userProvider="AD" userName="Lucia Sixto Barcia"/>
        <t:Anchor>
          <t:Comment id="49394756"/>
        </t:Anchor>
        <t:SetTitle title="@Maria Eleni Tomprou (External) is this to be dele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fe85f9d-14b9-4f9c-9861-ae262a00135d" ContentTypeId="0x0101004B4BAD3DDDE0F84A8E56A09DD9B2FAD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e99cb4-f4f9-415e-b3d9-1292be195fdc"/>
    <EpoSource xmlns="f2e99cb4-f4f9-415e-b3d9-1292be195fdc" xsi:nil="true"/>
    <a641881c17b74053ba819cacede073f8 xmlns="f2e99cb4-f4f9-415e-b3d9-1292be195fdc">
      <Terms xmlns="http://schemas.microsoft.com/office/infopath/2007/PartnerControls"/>
    </a641881c17b74053ba819cacede073f8>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_dlc_DocId xmlns="f2e99cb4-f4f9-415e-b3d9-1292be195fdc">TAS0-850928080-90379</_dlc_DocId>
    <_dlc_DocIdUrl xmlns="f2e99cb4-f4f9-415e-b3d9-1292be195fdc">
      <Url>https://byblos2019.internal.epo.org/sites/TAS/_layouts/15/DocIdRedir.aspx?ID=TAS0-850928080-90379</Url>
      <Description>TAS0-850928080-90379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5" ma:contentTypeDescription="The standard content type for document management documents." ma:contentTypeScope="" ma:versionID="6a7e6f8d835349d413b65e9ce9f73736">
  <xsd:schema xmlns:xsd="http://www.w3.org/2001/XMLSchema" xmlns:xs="http://www.w3.org/2001/XMLSchema" xmlns:p="http://schemas.microsoft.com/office/2006/metadata/properties" xmlns:ns2="f2e99cb4-f4f9-415e-b3d9-1292be195fdc" xmlns:ns3="http://schemas.microsoft.com/sharepoint/v3/fields" targetNamespace="http://schemas.microsoft.com/office/2006/metadata/properties" ma:root="true" ma:fieldsID="3dc2ef1601546c2365497dbc07101706" ns2:_="" ns3:_="">
    <xsd:import namespace="f2e99cb4-f4f9-415e-b3d9-1292be195fd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CEF23-4C69-483A-8A0D-76E5CB230F35}">
  <ds:schemaRefs>
    <ds:schemaRef ds:uri="Microsoft.SharePoint.Taxonomy.ContentTypeSync"/>
  </ds:schemaRefs>
</ds:datastoreItem>
</file>

<file path=customXml/itemProps2.xml><?xml version="1.0" encoding="utf-8"?>
<ds:datastoreItem xmlns:ds="http://schemas.openxmlformats.org/officeDocument/2006/customXml" ds:itemID="{BE11BC19-9870-44F6-B9FE-C039373264B2}">
  <ds:schemaRefs>
    <ds:schemaRef ds:uri="http://schemas.microsoft.com/sharepoint/events"/>
  </ds:schemaRefs>
</ds:datastoreItem>
</file>

<file path=customXml/itemProps3.xml><?xml version="1.0" encoding="utf-8"?>
<ds:datastoreItem xmlns:ds="http://schemas.openxmlformats.org/officeDocument/2006/customXml" ds:itemID="{C1280C52-995D-4ACF-BBDC-5AD4B337005A}">
  <ds:schemaRefs>
    <ds:schemaRef ds:uri="http://schemas.microsoft.com/sharepoint/v3/contenttype/forms"/>
  </ds:schemaRefs>
</ds:datastoreItem>
</file>

<file path=customXml/itemProps4.xml><?xml version="1.0" encoding="utf-8"?>
<ds:datastoreItem xmlns:ds="http://schemas.openxmlformats.org/officeDocument/2006/customXml" ds:itemID="{1ADF4C4B-C548-4625-A21D-6E5932E955BD}">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5.xml><?xml version="1.0" encoding="utf-8"?>
<ds:datastoreItem xmlns:ds="http://schemas.openxmlformats.org/officeDocument/2006/customXml" ds:itemID="{DBD5B9DA-7201-47DE-97A1-13FB30F92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Lucia Sixto Barcia</dc:creator>
  <keywords/>
  <lastModifiedBy>jsanchez.external@epo.org</lastModifiedBy>
  <revision>4</revision>
  <dcterms:created xsi:type="dcterms:W3CDTF">2023-07-26T16:13:00.0000000Z</dcterms:created>
  <dcterms:modified xsi:type="dcterms:W3CDTF">2023-07-28T08:40:41.4352181Z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2023-05-25T00:00:00Z</vt:filetime>
  </property>
  <property fmtid="{D5CDD505-2E9C-101B-9397-08002B2CF9AE}" pid="6" name="ContentTypeId">
    <vt:lpwstr>0x0101004B4BAD3DDDE0F84A8E56A09DD9B2FAD700589673E0CE02EC4FA69E3DADD58EC854</vt:lpwstr>
  </property>
  <property fmtid="{D5CDD505-2E9C-101B-9397-08002B2CF9AE}" pid="7" name="MediaServiceImageTags">
    <vt:lpwstr/>
  </property>
  <property fmtid="{D5CDD505-2E9C-101B-9397-08002B2CF9AE}" pid="8" name="_dlc_DocIdItemGuid">
    <vt:lpwstr>4ae41c67-7662-4ac9-95e2-0a276a4d36fa</vt:lpwstr>
  </property>
  <property fmtid="{D5CDD505-2E9C-101B-9397-08002B2CF9AE}" pid="9" name="EpoCoverage">
    <vt:lpwstr/>
  </property>
  <property fmtid="{D5CDD505-2E9C-101B-9397-08002B2CF9AE}" pid="10" name="EpoCategory">
    <vt:lpwstr/>
  </property>
  <property fmtid="{D5CDD505-2E9C-101B-9397-08002B2CF9AE}" pid="11" name="EpoLanguage">
    <vt:lpwstr/>
  </property>
  <property fmtid="{D5CDD505-2E9C-101B-9397-08002B2CF9AE}" pid="12" name="EpoPublisher">
    <vt:lpwstr/>
  </property>
  <property fmtid="{D5CDD505-2E9C-101B-9397-08002B2CF9AE}" pid="13" name="OtcsNodeId">
    <vt:lpwstr>17282564</vt:lpwstr>
  </property>
  <property fmtid="{D5CDD505-2E9C-101B-9397-08002B2CF9AE}" pid="14" name="OtcsNodeVersionID">
    <vt:lpwstr>2</vt:lpwstr>
  </property>
</Properties>
</file>