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932EA" w:rsidP="585C7251" w:rsidRDefault="000A4CC1" w14:paraId="00000002" w14:textId="77777777">
      <w:pPr>
        <w:pStyle w:val="LO-normal"/>
        <w:spacing w:before="240" w:after="240" w:line="360" w:lineRule="auto"/>
        <w:jc w:val="right"/>
        <w:rPr>
          <w:b/>
          <w:bCs/>
          <w:sz w:val="28"/>
          <w:szCs w:val="28"/>
        </w:rPr>
      </w:pPr>
      <w:r>
        <w:rPr>
          <w:b/>
          <w:sz w:val="28"/>
        </w:rPr>
        <w:t xml:space="preserve">PRESSEMITTEILUNG </w:t>
      </w:r>
    </w:p>
    <w:p w:rsidR="00B932EA" w:rsidP="585C7251" w:rsidRDefault="000A4CC1" w14:paraId="00000003" w14:textId="77777777">
      <w:pPr>
        <w:pStyle w:val="LO-normal"/>
        <w:jc w:val="center"/>
        <w:rPr>
          <w:b/>
          <w:bCs/>
          <w:sz w:val="28"/>
          <w:szCs w:val="28"/>
        </w:rPr>
      </w:pPr>
      <w:r>
        <w:rPr>
          <w:b/>
          <w:sz w:val="28"/>
        </w:rPr>
        <w:t xml:space="preserve">Energiespeicher der nächsten Generation für Offshore-Windparks: Maltesische Ingenieure als Finalisten für den Europäischen Erfinderpreis 2024 nominiert </w:t>
      </w:r>
    </w:p>
    <w:p w:rsidRPr="00FF67D7" w:rsidR="00B932EA" w:rsidP="585C7251" w:rsidRDefault="00B932EA" w14:paraId="00000004" w14:textId="77777777">
      <w:pPr>
        <w:pStyle w:val="LO-normal"/>
        <w:jc w:val="center"/>
        <w:rPr>
          <w:b/>
          <w:bCs/>
          <w:sz w:val="28"/>
          <w:szCs w:val="28"/>
        </w:rPr>
      </w:pPr>
    </w:p>
    <w:p w:rsidR="00B932EA" w:rsidP="585C7251" w:rsidRDefault="000A4CC1" w14:paraId="00000005" w14:textId="0E7FCB7B">
      <w:pPr>
        <w:pStyle w:val="LO-normal"/>
        <w:numPr>
          <w:ilvl w:val="0"/>
          <w:numId w:val="1"/>
        </w:numPr>
        <w:ind w:left="714" w:hanging="357"/>
        <w:jc w:val="both"/>
        <w:rPr>
          <w:b/>
          <w:bCs/>
        </w:rPr>
      </w:pPr>
      <w:r>
        <w:rPr>
          <w:b/>
        </w:rPr>
        <w:t>Tonio Sant, Daniel Buhagiar und ihr Team haben ein mechanisches Energiespeichersystem entwickelt, das Offshore-Windkraft zuverlässiger und planbarer machen könnte.</w:t>
      </w:r>
    </w:p>
    <w:p w:rsidR="00B932EA" w:rsidP="585C7251" w:rsidRDefault="000A4CC1" w14:paraId="32E05032" w14:textId="4ED0B5E2">
      <w:pPr>
        <w:pStyle w:val="LO-normal"/>
        <w:numPr>
          <w:ilvl w:val="0"/>
          <w:numId w:val="1"/>
        </w:numPr>
        <w:ind w:left="714" w:hanging="357"/>
        <w:jc w:val="both"/>
        <w:rPr>
          <w:b/>
          <w:bCs/>
        </w:rPr>
      </w:pPr>
      <w:r>
        <w:rPr>
          <w:b/>
        </w:rPr>
        <w:t>Ihre Erfindung nutzt das Meer zur Wärmeableitung, womit sie die Mechanik des Speichers vereinfachen konnten, so dass dieser Energie schneller speichern und wieder abgeben kann.</w:t>
      </w:r>
    </w:p>
    <w:p w:rsidR="00B932EA" w:rsidP="711DA86E" w:rsidRDefault="0AA4F435" w14:paraId="59ACE47D" w14:textId="24FB7B79">
      <w:pPr>
        <w:pStyle w:val="LO-normal"/>
        <w:numPr>
          <w:ilvl w:val="0"/>
          <w:numId w:val="1"/>
        </w:numPr>
        <w:ind w:left="714" w:hanging="357"/>
        <w:jc w:val="both"/>
      </w:pPr>
      <w:r>
        <w:rPr>
          <w:b/>
        </w:rPr>
        <w:t>Das maltesische Team</w:t>
      </w:r>
      <w:r>
        <w:rPr>
          <w:b/>
          <w:color w:val="000000" w:themeColor="text1"/>
        </w:rPr>
        <w:t xml:space="preserve"> tritt in der Kategorie "Forschung" gegen ein deutsches und ein französisches Team an. Die Namen der Gewinnerinnen und Gewinner werden am 9. Juli in Malta verkündet.</w:t>
      </w:r>
      <w:r>
        <w:rPr>
          <w:color w:val="000000" w:themeColor="text1"/>
        </w:rPr>
        <w:t> </w:t>
      </w:r>
    </w:p>
    <w:p w:rsidR="7B760F0B" w:rsidP="711DA86E" w:rsidRDefault="7B760F0B" w14:paraId="3984712A" w14:textId="128D5662">
      <w:pPr>
        <w:pStyle w:val="LO-normal"/>
        <w:numPr>
          <w:ilvl w:val="0"/>
          <w:numId w:val="1"/>
        </w:numPr>
        <w:ind w:left="714" w:hanging="357"/>
        <w:jc w:val="both"/>
        <w:rPr>
          <w:b/>
          <w:bCs/>
        </w:rPr>
      </w:pPr>
      <w:r w:rsidRPr="07F2C225">
        <w:rPr>
          <w:b/>
          <w:bCs/>
          <w:color w:val="000000" w:themeColor="text1"/>
        </w:rPr>
        <w:t xml:space="preserve">Ab heute kann für den </w:t>
      </w:r>
      <w:hyperlink r:id="rId11">
        <w:r w:rsidRPr="07F2C225">
          <w:rPr>
            <w:rStyle w:val="Hyperlink"/>
            <w:b/>
            <w:bCs/>
          </w:rPr>
          <w:t>Publikumspreis</w:t>
        </w:r>
      </w:hyperlink>
      <w:r w:rsidRPr="07F2C225">
        <w:rPr>
          <w:b/>
          <w:bCs/>
          <w:color w:val="000000" w:themeColor="text1"/>
        </w:rPr>
        <w:t xml:space="preserve"> abgestimmt werden.</w:t>
      </w:r>
      <w:r w:rsidRPr="07F2C225">
        <w:rPr>
          <w:color w:val="000000" w:themeColor="text1"/>
        </w:rPr>
        <w:t xml:space="preserve"> </w:t>
      </w:r>
      <w:r w:rsidRPr="07F2C225">
        <w:rPr>
          <w:b/>
          <w:bCs/>
          <w:color w:val="000000" w:themeColor="text1"/>
        </w:rPr>
        <w:t xml:space="preserve"> </w:t>
      </w:r>
      <w:r>
        <w:t xml:space="preserve"> </w:t>
      </w:r>
    </w:p>
    <w:p w:rsidRPr="00FF67D7" w:rsidR="00B932EA" w:rsidRDefault="00B932EA" w14:paraId="00000008" w14:textId="77777777">
      <w:pPr>
        <w:pStyle w:val="LO-normal"/>
        <w:jc w:val="both"/>
        <w:rPr>
          <w:b/>
        </w:rPr>
      </w:pPr>
    </w:p>
    <w:p w:rsidR="00B932EA" w:rsidRDefault="000A4CC1" w14:paraId="00000009" w14:textId="2AFD71F9">
      <w:pPr>
        <w:pStyle w:val="LO-normal"/>
        <w:spacing w:line="240" w:lineRule="auto"/>
        <w:jc w:val="both"/>
      </w:pPr>
      <w:r w:rsidRPr="2165F901">
        <w:rPr>
          <w:b/>
          <w:bCs/>
        </w:rPr>
        <w:t xml:space="preserve">München, 16. Mai 2024 </w:t>
      </w:r>
      <w:r>
        <w:t xml:space="preserve">– Laut der </w:t>
      </w:r>
      <w:hyperlink r:id="rId12">
        <w:r w:rsidRPr="2165F901">
          <w:rPr>
            <w:rStyle w:val="Hyperlink"/>
          </w:rPr>
          <w:t>Europäischen Umweltagentur (EUA)</w:t>
        </w:r>
      </w:hyperlink>
      <w:r>
        <w:t xml:space="preserve"> starben in den letzten 40 Jahren europaweit zwischen 85 000 und 145 000 Menschen bei </w:t>
      </w:r>
      <w:r w:rsidR="230C1807">
        <w:t>au</w:t>
      </w:r>
      <w:r w:rsidR="1B7FA93C">
        <w:t>f</w:t>
      </w:r>
      <w:r w:rsidR="230C1807">
        <w:t xml:space="preserve">grund des </w:t>
      </w:r>
      <w:r>
        <w:t>Klimawandel</w:t>
      </w:r>
      <w:r w:rsidR="34A2AC6F">
        <w:t>s</w:t>
      </w:r>
      <w:r>
        <w:t xml:space="preserve"> verursachten extremen Unwettern. Zusätzlich dazu könnten sich die wirtschaftlichen Schäden durch den </w:t>
      </w:r>
      <w:r w:rsidR="4618B7C7">
        <w:t xml:space="preserve">Klimawandel infolge der Nutzung </w:t>
      </w:r>
      <w:r>
        <w:t>fossile</w:t>
      </w:r>
      <w:r w:rsidR="1D29B3C5">
        <w:t>r</w:t>
      </w:r>
      <w:r>
        <w:t xml:space="preserve"> Brennstoffe allein durch Hitzewellen und </w:t>
      </w:r>
      <w:r w:rsidR="21571650">
        <w:t xml:space="preserve">der </w:t>
      </w:r>
      <w:r>
        <w:t xml:space="preserve">Überflutung von Küstengebieten in naher Zukunft auf mehr als 1 Billion Euro pro Jahr belaufen. Erneuerbare Energiequellen wie Wind und Sonne sind wesentliche Faktoren zur Verringerung der Abhängigkeit von fossilen Brennstoffen geworden, doch ihre unregelmäßige und schwankende Verfügbarkeit stellt ein Problem dar. Dieser Strom muss effizient gespeichert und bedarfsgerecht wieder abgegeben werden können. Zwei Ingenieure aus Malta haben sich dieses Problems angenommen und das </w:t>
      </w:r>
      <w:r w:rsidRPr="2165F901">
        <w:rPr>
          <w:b/>
          <w:bCs/>
        </w:rPr>
        <w:t>mechanische Offshore-Energiespeichersystem FLASC entwickelt, das Windenergie speichern und nach Bedarf wieder freisetzen kann.</w:t>
      </w:r>
      <w:r>
        <w:t xml:space="preserve"> Hierfür wurden Tonio Sant, Daniel Buhagiar und ihr Team unter 550 Kandidatinnen und Kandidaten als Finalisten in der Kategorie "Forschung" des Europäischen Erfinderpreises 2024 nominiert.</w:t>
      </w:r>
    </w:p>
    <w:p w:rsidR="00B932EA" w:rsidP="585C7251" w:rsidRDefault="000A4CC1" w14:paraId="0000000A" w14:textId="77777777">
      <w:pPr>
        <w:pStyle w:val="LO-normal"/>
        <w:spacing w:before="240" w:after="240" w:line="240" w:lineRule="auto"/>
        <w:jc w:val="both"/>
        <w:rPr>
          <w:b/>
          <w:bCs/>
          <w:color w:val="BE0F05"/>
          <w:highlight w:val="yellow"/>
        </w:rPr>
      </w:pPr>
      <w:r>
        <w:rPr>
          <w:b/>
          <w:color w:val="BE0F05"/>
        </w:rPr>
        <w:t>Effizienzsteigerung durch das Meer</w:t>
      </w:r>
    </w:p>
    <w:p w:rsidR="00BD16B6" w:rsidP="2165F901" w:rsidRDefault="000A4CC1" w14:paraId="5F0916E9" w14:textId="520189D7">
      <w:pPr>
        <w:pStyle w:val="LO-normal"/>
        <w:spacing w:line="240" w:lineRule="auto"/>
        <w:jc w:val="both"/>
      </w:pPr>
      <w:r>
        <w:t xml:space="preserve">Das FLASC-System kann große Energiemengen sicher und nachhaltig speichern. Die meisten Komponenten sind direkt im Windpark unter Wasser angeordnet. Der von der Windkraftanlage erzeugte überschüssige Strom wird in Form von Druckluft gespeichert, wobei unter Druck stehendes Meerwasser als hydraulischer Kolben in Hochdruckbehältern fungiert. Das System nutzt das Meer selbst als Kühlkörper, wodurch eines der größten Probleme von Speichervorrichtungen dieser Art wegfällt. </w:t>
      </w:r>
      <w:r w:rsidRPr="2165F901">
        <w:rPr>
          <w:i/>
          <w:iCs/>
        </w:rPr>
        <w:t xml:space="preserve">"Bei der Komprimierung der Luft in den Druckbehältern nimmt das Meerwasser die entstehende Wärme auf und verteilt sie effektiv, ohne messbare Temperaturzunahme. Wenn wir das sich ausdehnende Gas zur Stromerzeugung nutzen, stabilisiert das Meer die Temperatur unserer Luft, so dass sie </w:t>
      </w:r>
      <w:r w:rsidRPr="2165F901" w:rsidR="16894694">
        <w:rPr>
          <w:i/>
          <w:iCs/>
        </w:rPr>
        <w:t xml:space="preserve">sich </w:t>
      </w:r>
      <w:r w:rsidRPr="2165F901">
        <w:rPr>
          <w:i/>
          <w:iCs/>
        </w:rPr>
        <w:t xml:space="preserve">gleichmäßig </w:t>
      </w:r>
      <w:r w:rsidRPr="2165F901" w:rsidR="09D88E2A">
        <w:rPr>
          <w:i/>
          <w:iCs/>
        </w:rPr>
        <w:t>ausdehnen</w:t>
      </w:r>
      <w:r w:rsidRPr="2165F901">
        <w:rPr>
          <w:i/>
          <w:iCs/>
        </w:rPr>
        <w:t xml:space="preserve"> und die benötigte Menge Strom erzeugen kann"</w:t>
      </w:r>
      <w:r>
        <w:t>,</w:t>
      </w:r>
      <w:r w:rsidRPr="2165F901">
        <w:rPr>
          <w:i/>
          <w:iCs/>
        </w:rPr>
        <w:t xml:space="preserve"> </w:t>
      </w:r>
      <w:r>
        <w:t>erklärt Sant.</w:t>
      </w:r>
      <w:r w:rsidRPr="2165F901">
        <w:rPr>
          <w:i/>
          <w:iCs/>
        </w:rPr>
        <w:t xml:space="preserve"> "Dadurch können wir die Technologie vereinfachen. Aktuelle Druckluftspeichersysteme benötigen zusätzliche Ausrüstungsteile zur Speicherung der erzeugten Wärme, um </w:t>
      </w:r>
      <w:r w:rsidRPr="2165F901">
        <w:rPr>
          <w:i/>
          <w:iCs/>
        </w:rPr>
        <w:lastRenderedPageBreak/>
        <w:t>Energieverluste zu begrenzen. Wir brauchen keinen solchen Wärmespeicher, wir haben das Meer",</w:t>
      </w:r>
      <w:r>
        <w:t xml:space="preserve"> fügt er hinzu.</w:t>
      </w:r>
    </w:p>
    <w:p w:rsidRPr="00FF67D7" w:rsidR="00BD16B6" w:rsidP="585C7251" w:rsidRDefault="00BD16B6" w14:paraId="54C0295E" w14:textId="77777777">
      <w:pPr>
        <w:pStyle w:val="LO-normal"/>
        <w:spacing w:line="240" w:lineRule="auto"/>
        <w:jc w:val="both"/>
      </w:pPr>
    </w:p>
    <w:p w:rsidRPr="00777396" w:rsidR="00B932EA" w:rsidP="00BD16B6" w:rsidRDefault="001275AF" w14:paraId="0000000F" w14:textId="10B2028B">
      <w:pPr>
        <w:pStyle w:val="LO-normal"/>
        <w:spacing w:line="240" w:lineRule="auto"/>
        <w:jc w:val="both"/>
      </w:pPr>
      <w:r>
        <w:t xml:space="preserve">Bei schwachem Wind kann dieser Prozess umgekehrt werden: Die in der Druckluft gespeicherte Energie treibt dann eine Turbine an, die Strom erzeugt. Laut den Erfindern </w:t>
      </w:r>
      <w:r>
        <w:rPr>
          <w:b/>
        </w:rPr>
        <w:t xml:space="preserve">ermöglicht das hocheffiziente Verfahren eine Rückgewinnung von 93 % des Gases, was einen hohen Gesamtwirkungsgrad ergibt. </w:t>
      </w:r>
    </w:p>
    <w:p w:rsidR="00B932EA" w:rsidP="585C7251" w:rsidRDefault="000A4CC1" w14:paraId="00000010" w14:textId="77777777">
      <w:pPr>
        <w:pStyle w:val="LO-normal"/>
        <w:spacing w:before="240" w:after="240" w:line="240" w:lineRule="auto"/>
        <w:jc w:val="both"/>
        <w:rPr>
          <w:b/>
          <w:bCs/>
          <w:color w:val="C0504D"/>
        </w:rPr>
      </w:pPr>
      <w:r>
        <w:rPr>
          <w:b/>
          <w:color w:val="C04F4D"/>
        </w:rPr>
        <w:t>Keine einfache akademische Übung</w:t>
      </w:r>
    </w:p>
    <w:p w:rsidR="00B932EA" w:rsidP="585C7251" w:rsidRDefault="000A4CC1" w14:paraId="00000011" w14:textId="685F1EBF">
      <w:pPr>
        <w:pStyle w:val="LO-normal"/>
        <w:spacing w:line="240" w:lineRule="auto"/>
        <w:jc w:val="both"/>
      </w:pPr>
      <w:r>
        <w:t xml:space="preserve">Das System wurde im Rahmen von Buhagiars </w:t>
      </w:r>
      <w:r w:rsidR="7A10A22C">
        <w:t>Promotion</w:t>
      </w:r>
      <w:r>
        <w:t xml:space="preserve"> an der Universität Malta entwickelt, betreut von Professor Tonio Sant vom Fachbereich Maschinenbau.</w:t>
      </w:r>
      <w:r w:rsidRPr="2165F901">
        <w:rPr>
          <w:b/>
          <w:bCs/>
        </w:rPr>
        <w:t xml:space="preserve"> </w:t>
      </w:r>
      <w:r>
        <w:t>Das anfängliche akademische Problem wurde zu etwas viel Größerem, als das Wissenstransfer</w:t>
      </w:r>
      <w:r w:rsidR="3399C541">
        <w:t>-</w:t>
      </w:r>
      <w:r>
        <w:t>büro der Universität die Idee für gut genug befand, um sie patentieren zu lassen.</w:t>
      </w:r>
      <w:r w:rsidRPr="2165F901">
        <w:rPr>
          <w:i/>
          <w:iCs/>
        </w:rPr>
        <w:t xml:space="preserve"> "Als kleine Insel betrachten wir das Meer immer als Ressource. Die Idee war also einfach: Wi</w:t>
      </w:r>
      <w:r w:rsidRPr="2165F901" w:rsidR="0E90FC56">
        <w:rPr>
          <w:i/>
          <w:iCs/>
        </w:rPr>
        <w:t>e</w:t>
      </w:r>
      <w:r w:rsidRPr="2165F901">
        <w:rPr>
          <w:i/>
          <w:iCs/>
        </w:rPr>
        <w:t xml:space="preserve"> wäre es, ein Energiespeichersystem zu entwickeln, das in einem bereits bestehenden Offshore-Windpark installiert wird?",</w:t>
      </w:r>
      <w:r>
        <w:t xml:space="preserve"> er</w:t>
      </w:r>
      <w:r w:rsidR="64E9FF73">
        <w:t>läutert</w:t>
      </w:r>
      <w:r>
        <w:t xml:space="preserve"> Buhagiar die Inspiration.</w:t>
      </w:r>
      <w:r w:rsidRPr="2165F901">
        <w:rPr>
          <w:i/>
          <w:iCs/>
        </w:rPr>
        <w:t xml:space="preserve"> "Beim Bau des Prototyp</w:t>
      </w:r>
      <w:r w:rsidRPr="2165F901" w:rsidR="56D9E9EF">
        <w:rPr>
          <w:i/>
          <w:iCs/>
        </w:rPr>
        <w:t>s</w:t>
      </w:r>
      <w:r w:rsidRPr="2165F901">
        <w:rPr>
          <w:i/>
          <w:iCs/>
        </w:rPr>
        <w:t xml:space="preserve"> hatten wir keine Ahnung, dass dies ein Schritt zur Kommerzialisierung sein würde. Es war eher eine akademische Übung zur Validierung der Modelle",</w:t>
      </w:r>
      <w:r>
        <w:t xml:space="preserve"> </w:t>
      </w:r>
      <w:r w:rsidR="025E3489">
        <w:t>berichtet</w:t>
      </w:r>
      <w:r>
        <w:t xml:space="preserve"> er weiter. </w:t>
      </w:r>
    </w:p>
    <w:p w:rsidRPr="00FF67D7" w:rsidR="00B932EA" w:rsidP="585C7251" w:rsidRDefault="00B932EA" w14:paraId="00000012" w14:textId="77777777">
      <w:pPr>
        <w:pStyle w:val="LO-normal"/>
        <w:spacing w:line="240" w:lineRule="auto"/>
        <w:jc w:val="both"/>
      </w:pPr>
    </w:p>
    <w:p w:rsidR="00B932EA" w:rsidP="2A6DEF08" w:rsidRDefault="000A4CC1" w14:paraId="00000013" w14:textId="2E28ED8E">
      <w:pPr>
        <w:pStyle w:val="LO-normal"/>
        <w:spacing w:line="240" w:lineRule="auto"/>
        <w:jc w:val="both"/>
      </w:pPr>
      <w:r>
        <w:t>Die Universität Malta entwickelt</w:t>
      </w:r>
      <w:r w:rsidR="51CA403B">
        <w:t>e</w:t>
      </w:r>
      <w:r>
        <w:t xml:space="preserve"> zusammen mit dem FLASC-Team das Spin-off-Unternehmen </w:t>
      </w:r>
      <w:r>
        <w:rPr>
          <w:shd w:val="clear" w:color="auto" w:fill="FFFFFF"/>
        </w:rPr>
        <w:t xml:space="preserve">FLASC B.V., mit dem Ziel der </w:t>
      </w:r>
      <w:r w:rsidR="4550BA5D">
        <w:rPr>
          <w:shd w:val="clear" w:color="auto" w:fill="FFFFFF"/>
        </w:rPr>
        <w:t>Hochs</w:t>
      </w:r>
      <w:r>
        <w:rPr>
          <w:shd w:val="clear" w:color="auto" w:fill="FFFFFF"/>
        </w:rPr>
        <w:t xml:space="preserve">kalierung. </w:t>
      </w:r>
      <w:r>
        <w:t xml:space="preserve">Das Team ist eines von drei Finalisten in der Kategorie "Forschung" des Europäischen Erfinderpreises 2024. Die anderen für ihre herausragenden Arbeiten in diesem Bereich anerkannten Finalisten sind die Deutsche Cordelia Schmid für ihre KI-Lösungen, die eine </w:t>
      </w:r>
      <w:r w:rsidR="7A7F6AD6">
        <w:t>v</w:t>
      </w:r>
      <w:r>
        <w:t>e</w:t>
      </w:r>
      <w:r w:rsidR="7A7F6AD6">
        <w:t>rbesserte</w:t>
      </w:r>
      <w:r>
        <w:t xml:space="preserve"> maschinelle Wahrnehmung ermöglichen, die der menschlichen visuellen Interpretation </w:t>
      </w:r>
      <w:r w:rsidR="1DEA5E39">
        <w:t>ähnelt</w:t>
      </w:r>
      <w:r>
        <w:t xml:space="preserve">, sowie ein französisches Team unter Leitung von David Devos und Caroline Moreau für ihre innovativen Parkinson-Therapien. Das </w:t>
      </w:r>
      <w:r w:rsidR="25BC22E2">
        <w:t>Europäische Patentamt (</w:t>
      </w:r>
      <w:r>
        <w:t>EPA</w:t>
      </w:r>
      <w:r w:rsidR="4A3F8B10">
        <w:t>)</w:t>
      </w:r>
      <w:r>
        <w:t xml:space="preserve"> wird die Gewinnerinnen und Gewinner am 9. Juli 2024 im Rahmen einer per </w:t>
      </w:r>
      <w:hyperlink r:id="rId13">
        <w:r w:rsidRPr="07F2C225">
          <w:rPr>
            <w:rStyle w:val="Hyperlink"/>
          </w:rPr>
          <w:t>Livestream</w:t>
        </w:r>
      </w:hyperlink>
      <w:r>
        <w:t xml:space="preserve"> übertragenen Preisverleihung aus Sants und Buhagiars Heimatland Malta bekannt geben. Zusätzlich zu den einzelnen Kategorien wird das EPA dann auch die Sieger des per Online-Abstimmung ermittelten Publikumspreises bekannt geben. Die Stimmabgabe ist bis zum Tag der Preisverleihung möglich.  </w:t>
      </w:r>
    </w:p>
    <w:p w:rsidR="00B932EA" w:rsidP="585C7251" w:rsidRDefault="000A4CC1" w14:paraId="00000014" w14:textId="5A87B6D9">
      <w:pPr>
        <w:pStyle w:val="LO-normal"/>
        <w:spacing w:line="240" w:lineRule="auto"/>
        <w:jc w:val="both"/>
        <w:rPr>
          <w:color w:val="00000A"/>
          <w:highlight w:val="yellow"/>
        </w:rPr>
      </w:pPr>
      <w:r>
        <w:br/>
      </w:r>
      <w:r w:rsidRPr="2165F901">
        <w:rPr>
          <w:color w:val="00000A"/>
        </w:rPr>
        <w:t>Weitere Informationen über die Auswirkungen der Erfindungen, die Technologie und Näheres zu den Erfinderinnen und Erfindern finden Sie</w:t>
      </w:r>
      <w:r w:rsidRPr="2165F901" w:rsidR="00F9300A">
        <w:rPr>
          <w:color w:val="00000A"/>
        </w:rPr>
        <w:t xml:space="preserve"> </w:t>
      </w:r>
      <w:hyperlink r:id="rId14">
        <w:r w:rsidRPr="2165F901" w:rsidR="00F9300A">
          <w:rPr>
            <w:rStyle w:val="Hyperlink"/>
          </w:rPr>
          <w:t>hier</w:t>
        </w:r>
      </w:hyperlink>
      <w:r w:rsidRPr="2165F901" w:rsidR="00F9300A">
        <w:rPr>
          <w:color w:val="00000A"/>
        </w:rPr>
        <w:t>.</w:t>
      </w:r>
    </w:p>
    <w:p w:rsidR="00B932EA" w:rsidP="585C7251" w:rsidRDefault="00B932EA" w14:paraId="00000015" w14:textId="77777777">
      <w:pPr>
        <w:pStyle w:val="LO-normal"/>
        <w:spacing w:line="360" w:lineRule="auto"/>
        <w:rPr>
          <w:b/>
          <w:bCs/>
          <w:lang w:val="en-GB"/>
        </w:rPr>
      </w:pPr>
    </w:p>
    <w:p w:rsidR="00B932EA" w:rsidP="585C7251" w:rsidRDefault="000A4CC1" w14:paraId="00000016" w14:textId="77777777">
      <w:pPr>
        <w:pStyle w:val="LO-normal"/>
        <w:spacing w:after="160" w:line="259" w:lineRule="auto"/>
        <w:rPr>
          <w:sz w:val="20"/>
          <w:szCs w:val="20"/>
        </w:rPr>
      </w:pPr>
      <w:r>
        <w:rPr>
          <w:b/>
          <w:sz w:val="20"/>
        </w:rPr>
        <w:t>Medienkontakte Europäisches Patentamt</w:t>
      </w:r>
    </w:p>
    <w:p w:rsidR="00B932EA" w:rsidP="585C7251" w:rsidRDefault="000A4CC1" w14:paraId="00000017" w14:textId="77777777">
      <w:pPr>
        <w:pStyle w:val="LO-normal"/>
        <w:spacing w:line="240" w:lineRule="auto"/>
        <w:rPr>
          <w:sz w:val="20"/>
          <w:szCs w:val="20"/>
        </w:rPr>
      </w:pPr>
      <w:r>
        <w:rPr>
          <w:b/>
          <w:sz w:val="20"/>
        </w:rPr>
        <w:t>Luis Berenguer Giménez</w:t>
      </w:r>
      <w:r>
        <w:rPr>
          <w:sz w:val="20"/>
        </w:rPr>
        <w:t xml:space="preserve"> </w:t>
      </w:r>
      <w:r>
        <w:br/>
      </w:r>
      <w:r>
        <w:rPr>
          <w:sz w:val="20"/>
        </w:rPr>
        <w:t>Hauptdirektor Kommunikation / EPA-Sprecher</w:t>
      </w:r>
    </w:p>
    <w:p w:rsidR="00B932EA" w:rsidP="585C7251" w:rsidRDefault="00B932EA" w14:paraId="00000018" w14:textId="77777777">
      <w:pPr>
        <w:pStyle w:val="LO-normal"/>
        <w:spacing w:line="240" w:lineRule="auto"/>
        <w:rPr>
          <w:b/>
          <w:bCs/>
          <w:sz w:val="20"/>
          <w:szCs w:val="20"/>
          <w:lang w:val="en-GB"/>
        </w:rPr>
      </w:pPr>
    </w:p>
    <w:p w:rsidR="00B932EA" w:rsidP="585C7251" w:rsidRDefault="000A4CC1" w14:paraId="00000019" w14:textId="77777777">
      <w:pPr>
        <w:pStyle w:val="LO-normal"/>
        <w:spacing w:line="240" w:lineRule="auto"/>
        <w:rPr>
          <w:sz w:val="20"/>
          <w:szCs w:val="20"/>
        </w:rPr>
      </w:pPr>
      <w:r>
        <w:rPr>
          <w:b/>
          <w:sz w:val="20"/>
        </w:rPr>
        <w:t>EPA-Pressestelle</w:t>
      </w:r>
    </w:p>
    <w:p w:rsidR="00B932EA" w:rsidP="2165F901" w:rsidRDefault="00FF67D7" w14:paraId="0000001B" w14:textId="7B443C6E">
      <w:pPr>
        <w:pStyle w:val="LO-normal"/>
        <w:spacing w:before="240" w:after="240"/>
        <w:rPr>
          <w:sz w:val="18"/>
          <w:szCs w:val="18"/>
        </w:rPr>
      </w:pPr>
      <w:hyperlink r:id="rId15">
        <w:r w:rsidRPr="2165F901" w:rsidR="00AF05D0">
          <w:rPr>
            <w:color w:val="0000FF"/>
            <w:sz w:val="20"/>
            <w:szCs w:val="20"/>
            <w:u w:val="single"/>
          </w:rPr>
          <w:t>press@epo.org</w:t>
        </w:r>
      </w:hyperlink>
      <w:r w:rsidRPr="2165F901" w:rsidR="00AF05D0">
        <w:rPr>
          <w:sz w:val="20"/>
          <w:szCs w:val="20"/>
        </w:rPr>
        <w:t xml:space="preserve"> </w:t>
      </w:r>
      <w:r w:rsidR="000A4CC1">
        <w:br/>
      </w:r>
      <w:r w:rsidRPr="2165F901" w:rsidR="00AF05D0">
        <w:rPr>
          <w:sz w:val="20"/>
          <w:szCs w:val="20"/>
        </w:rPr>
        <w:t>Tel.: +49 89 2399-1833</w:t>
      </w:r>
      <w:r w:rsidR="000A4CC1">
        <w:br/>
      </w:r>
      <w:r w:rsidR="000A4CC1">
        <w:br/>
      </w:r>
      <w:r w:rsidRPr="2165F901" w:rsidR="000A4CC1">
        <w:rPr>
          <w:b/>
          <w:bCs/>
          <w:sz w:val="18"/>
          <w:szCs w:val="18"/>
        </w:rPr>
        <w:t>Über den Europäischen Erfinderpreis</w:t>
      </w:r>
    </w:p>
    <w:p w:rsidR="4C1C18E8" w:rsidP="7475103C" w:rsidRDefault="4C1C18E8" w14:paraId="271DD8AA" w14:textId="27F134FB">
      <w:pPr>
        <w:jc w:val="both"/>
      </w:pPr>
      <w:r w:rsidRPr="7475103C">
        <w:rPr>
          <w:color w:val="000000" w:themeColor="text1"/>
          <w:sz w:val="18"/>
          <w:szCs w:val="18"/>
        </w:rPr>
        <w:t xml:space="preserve">Der Europäische Erfinderpreis ist einer der renommiertesten Innovationspreise in Europa. Mit dem 2006 vom EPA ins Leben gerufenen Preis werden Einzelpersonen und Teams ausgezeichnet, die Lösungen für einige der größten Herausforderungen unserer Zeit gefunden haben. Die Jury des Europäischen Erfinderpreises besteht aus Erfindern, die allesamt ehemalige Finalistinnen und Finalisten sind. Bei der Beurteilung der Vorschläge stützt sich die unabhängige Jury auf ihr umfangreiches Fachwissen in den Bereichen Technik, Wirtschaft und geistiges Eigentum. Im Jahr 2024 hat Wolfgang M. Heckl den Vorsitz der Jury inne. Alle Erfinder müssen für ihre Erfindung ein europäisches Patent erhalten haben. </w:t>
      </w:r>
      <w:r w:rsidRPr="7475103C">
        <w:rPr>
          <w:color w:val="21252C"/>
          <w:sz w:val="18"/>
          <w:szCs w:val="18"/>
        </w:rPr>
        <w:t xml:space="preserve">Weitere Informationen zu den verschiedenen Kategorien und Preisen, </w:t>
      </w:r>
      <w:r w:rsidRPr="7475103C">
        <w:rPr>
          <w:color w:val="21252C"/>
          <w:sz w:val="18"/>
          <w:szCs w:val="18"/>
        </w:rPr>
        <w:lastRenderedPageBreak/>
        <w:t xml:space="preserve">den für die Auswahl geltenden Kriterien und zur Preisverleihungszeremonie am 9. Juli 2024 in Malta, die im Livestream verfolgt werden kann, finden Sie </w:t>
      </w:r>
      <w:hyperlink r:id="rId16">
        <w:r w:rsidRPr="7475103C">
          <w:rPr>
            <w:rStyle w:val="Hyperlink"/>
            <w:sz w:val="18"/>
            <w:szCs w:val="18"/>
          </w:rPr>
          <w:t>hier</w:t>
        </w:r>
      </w:hyperlink>
      <w:r w:rsidRPr="7475103C">
        <w:rPr>
          <w:color w:val="21252C"/>
          <w:sz w:val="18"/>
          <w:szCs w:val="18"/>
        </w:rPr>
        <w:t>.</w:t>
      </w:r>
    </w:p>
    <w:p w:rsidR="00B932EA" w:rsidP="585C7251" w:rsidRDefault="000A4CC1" w14:paraId="0000001E" w14:textId="52EFEC65">
      <w:pPr>
        <w:pStyle w:val="LO-normal"/>
        <w:spacing w:before="240" w:after="240"/>
        <w:jc w:val="both"/>
        <w:rPr>
          <w:sz w:val="18"/>
          <w:szCs w:val="18"/>
        </w:rPr>
      </w:pPr>
      <w:r w:rsidRPr="2165F901">
        <w:rPr>
          <w:b/>
          <w:bCs/>
          <w:sz w:val="18"/>
          <w:szCs w:val="18"/>
        </w:rPr>
        <w:t>Das EPA</w:t>
      </w:r>
      <w:r>
        <w:br/>
      </w:r>
      <w:r w:rsidRPr="2165F901">
        <w:rPr>
          <w:sz w:val="18"/>
          <w:szCs w:val="18"/>
        </w:rPr>
        <w:t xml:space="preserve">Mit 6 300 Beschäftigten ist das </w:t>
      </w:r>
      <w:hyperlink r:id="rId17">
        <w:r w:rsidRPr="2165F901">
          <w:rPr>
            <w:color w:val="0000FF"/>
            <w:sz w:val="18"/>
            <w:szCs w:val="18"/>
            <w:u w:val="single"/>
          </w:rPr>
          <w:t>Europäische Patentamt (EPA)</w:t>
        </w:r>
      </w:hyperlink>
      <w:r w:rsidRPr="2165F901">
        <w:rPr>
          <w:sz w:val="18"/>
          <w:szCs w:val="18"/>
        </w:rPr>
        <w:t xml:space="preserve"> eine der größten Behörden in Europa. Das EPA, das seinen Hauptsitz in München sowie Niederlassungen in Berlin, Brüssel, Den Haag und Wien hat, wurde mit dem Ziel gegründet, die Zusammenarbeit zwischen den Staaten Europas auf dem Gebiet des Patentwesens zu stärken. Dank des zentralisierten Verfahrens vor dem EPA können Erfinderinnen und Erfinder hochwertigen Patentschutz in bis zu 45 Staaten erlangen, die zusammen einen Markt von rund 700 Millionen Menschen umfassen. Das EPA ist ferner weltweit führend in den Bereichen Patentinformation und Patentrecherche.</w:t>
      </w:r>
    </w:p>
    <w:p w:rsidR="00B932EA" w:rsidP="585C7251" w:rsidRDefault="00B932EA" w14:paraId="0000001F" w14:textId="77777777">
      <w:pPr>
        <w:pStyle w:val="LO-normal"/>
        <w:widowControl w:val="0"/>
        <w:tabs>
          <w:tab w:val="left" w:pos="939"/>
        </w:tabs>
        <w:spacing w:before="3" w:line="240" w:lineRule="auto"/>
        <w:ind w:left="939"/>
        <w:rPr>
          <w:lang w:val="en-GB"/>
        </w:rPr>
      </w:pPr>
    </w:p>
    <w:sectPr w:rsidR="00B932EA">
      <w:pgSz w:w="11906" w:h="16838" w:orient="portrait"/>
      <w:pgMar w:top="1440" w:right="1440" w:bottom="1440" w:left="1440" w:header="0" w:footer="0" w:gutter="0"/>
      <w:pgNumType w:start="1"/>
      <w:cols w:space="720"/>
      <w:headerReference w:type="default" r:id="R047d8e75b3b84224"/>
      <w:footerReference w:type="default" r:id="R846645a60b6549f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3048D012-9AC2-4CDA-B589-433636FDC892}" r:id="rId1"/>
    <w:embedItalic w:fontKey="{0012F6EB-6EFA-4926-991E-4704F2761AAB}" r:id="rId2"/>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embedRegular w:fontKey="{66B1FE77-1836-403C-8FD6-BB1AC622E40E}" r:id="rId3"/>
    <w:embedBold w:fontKey="{941482E6-99B4-4D7E-BE92-AC2498845470}" r:id="rId4"/>
    <w:embedItalic w:fontKey="{6F0E24B4-C54B-48DB-9948-CFFEF9D2ABB1}" r:id="rId5"/>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embedRegular w:fontKey="{96AB75D2-0991-443A-9E71-4D702707F27B}" r:id="rId6"/>
    <w:embedItalic w:fontKey="{86065F3F-026A-493E-8D91-E2B279FBCA8F}" r:id="rId7"/>
  </w:font>
  <w:font w:name="Segoe UI">
    <w:panose1 w:val="020B0502040204020203"/>
    <w:charset w:val="00"/>
    <w:family w:val="swiss"/>
    <w:pitch w:val="variable"/>
    <w:sig w:usb0="E4002EFF" w:usb1="C000E47F" w:usb2="00000009" w:usb3="00000000" w:csb0="000001FF" w:csb1="00000000"/>
    <w:embedRegular w:fontKey="{8115D301-43A7-4530-9475-C448DA3CABD7}" r:id="rId8"/>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4EFDDEA5-32F4-4850-8807-D7160EB81465}" r:id="rId9"/>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32A2C88A" w:rsidTr="32A2C88A" w14:paraId="4E108573">
      <w:trPr>
        <w:trHeight w:val="300"/>
      </w:trPr>
      <w:tc>
        <w:tcPr>
          <w:tcW w:w="3005" w:type="dxa"/>
          <w:tcMar/>
        </w:tcPr>
        <w:p w:rsidR="32A2C88A" w:rsidP="32A2C88A" w:rsidRDefault="32A2C88A" w14:paraId="0962F896" w14:textId="627BE04A">
          <w:pPr>
            <w:pStyle w:val="Header"/>
            <w:bidi w:val="0"/>
            <w:ind w:left="-115"/>
            <w:jc w:val="left"/>
          </w:pPr>
        </w:p>
      </w:tc>
      <w:tc>
        <w:tcPr>
          <w:tcW w:w="3005" w:type="dxa"/>
          <w:tcMar/>
        </w:tcPr>
        <w:p w:rsidR="32A2C88A" w:rsidP="32A2C88A" w:rsidRDefault="32A2C88A" w14:paraId="0F0AECC3" w14:textId="592EB4B4">
          <w:pPr>
            <w:pStyle w:val="Header"/>
            <w:bidi w:val="0"/>
            <w:jc w:val="center"/>
          </w:pPr>
        </w:p>
      </w:tc>
      <w:tc>
        <w:tcPr>
          <w:tcW w:w="3005" w:type="dxa"/>
          <w:tcMar/>
        </w:tcPr>
        <w:p w:rsidR="32A2C88A" w:rsidP="32A2C88A" w:rsidRDefault="32A2C88A" w14:paraId="29679159" w14:textId="14280DC3">
          <w:pPr>
            <w:pStyle w:val="Header"/>
            <w:bidi w:val="0"/>
            <w:ind w:right="-115"/>
            <w:jc w:val="right"/>
          </w:pPr>
        </w:p>
      </w:tc>
    </w:tr>
  </w:tbl>
  <w:p w:rsidR="32A2C88A" w:rsidP="32A2C88A" w:rsidRDefault="32A2C88A" w14:paraId="4D2A5C37" w14:textId="703B3DFE">
    <w:pPr>
      <w:pStyle w:val="Footer"/>
      <w:bidi w:val="0"/>
    </w:pPr>
  </w:p>
</w:ftr>
</file>

<file path=word/header.xml><?xml version="1.0" encoding="utf-8"?>
<w:hdr xmlns:w14="http://schemas.microsoft.com/office/word/2010/wordml" xmlns:w="http://schemas.openxmlformats.org/wordprocessingml/2006/main"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w:tbl>
    <w:tblPr>
      <w:tblStyle w:val="TableNormal"/>
      <w:bidiVisual w:val="0"/>
      <w:tblW w:w="0" w:type="auto"/>
      <w:tblLayout w:type="fixed"/>
      <w:tblLook w:val="06A0" w:firstRow="1" w:lastRow="0" w:firstColumn="1" w:lastColumn="0" w:noHBand="1" w:noVBand="1"/>
    </w:tblPr>
    <w:tblGrid>
      <w:gridCol w:w="3005"/>
      <w:gridCol w:w="3005"/>
      <w:gridCol w:w="3005"/>
    </w:tblGrid>
    <w:tr w:rsidR="32A2C88A" w:rsidTr="56F7432D" w14:paraId="6BDEE8F8">
      <w:trPr>
        <w:trHeight w:val="300"/>
      </w:trPr>
      <w:tc>
        <w:tcPr>
          <w:tcW w:w="3005" w:type="dxa"/>
          <w:tcMar/>
        </w:tcPr>
        <w:p w:rsidR="32A2C88A" w:rsidP="32A2C88A" w:rsidRDefault="32A2C88A" w14:paraId="20870B6D" w14:textId="02F12FBA">
          <w:pPr>
            <w:pStyle w:val="Header"/>
            <w:bidi w:val="0"/>
            <w:ind w:left="-115"/>
            <w:jc w:val="left"/>
          </w:pPr>
          <w:r w:rsidR="56F7432D">
            <w:drawing>
              <wp:inline wp14:editId="2909F075" wp14:anchorId="6393C20B">
                <wp:extent cx="1485900" cy="742950"/>
                <wp:effectExtent l="0" t="0" r="0" b="0"/>
                <wp:docPr id="550136817" name="" descr="Logo European Patent Office" title=""/>
                <wp:cNvGraphicFramePr>
                  <a:graphicFrameLocks noChangeAspect="1"/>
                </wp:cNvGraphicFramePr>
                <a:graphic>
                  <a:graphicData uri="http://schemas.openxmlformats.org/drawingml/2006/picture">
                    <pic:pic>
                      <pic:nvPicPr>
                        <pic:cNvPr id="0" name=""/>
                        <pic:cNvPicPr/>
                      </pic:nvPicPr>
                      <pic:blipFill>
                        <a:blip r:embed="R5dfa808677014ade">
                          <a:extLst>
                            <a:ext xmlns:a="http://schemas.openxmlformats.org/drawingml/2006/main" uri="{28A0092B-C50C-407E-A947-70E740481C1C}">
                              <a14:useLocalDpi val="0"/>
                            </a:ext>
                          </a:extLst>
                        </a:blip>
                        <a:stretch>
                          <a:fillRect/>
                        </a:stretch>
                      </pic:blipFill>
                      <pic:spPr>
                        <a:xfrm>
                          <a:off x="0" y="0"/>
                          <a:ext cx="1485900" cy="742950"/>
                        </a:xfrm>
                        <a:prstGeom prst="rect">
                          <a:avLst/>
                        </a:prstGeom>
                      </pic:spPr>
                    </pic:pic>
                  </a:graphicData>
                </a:graphic>
              </wp:inline>
            </w:drawing>
          </w:r>
          <w:r>
            <w:br/>
          </w:r>
        </w:p>
      </w:tc>
      <w:tc>
        <w:tcPr>
          <w:tcW w:w="3005" w:type="dxa"/>
          <w:tcMar/>
        </w:tcPr>
        <w:p w:rsidR="32A2C88A" w:rsidP="32A2C88A" w:rsidRDefault="32A2C88A" w14:paraId="5E910761" w14:textId="5AE1884D">
          <w:pPr>
            <w:pStyle w:val="Header"/>
            <w:bidi w:val="0"/>
            <w:jc w:val="center"/>
          </w:pPr>
        </w:p>
      </w:tc>
      <w:tc>
        <w:tcPr>
          <w:tcW w:w="3005" w:type="dxa"/>
          <w:tcMar/>
        </w:tcPr>
        <w:p w:rsidR="32A2C88A" w:rsidP="32A2C88A" w:rsidRDefault="32A2C88A" w14:paraId="6478CAA6" w14:textId="78621E29">
          <w:pPr>
            <w:pStyle w:val="Header"/>
            <w:bidi w:val="0"/>
            <w:ind w:right="-115"/>
            <w:jc w:val="right"/>
          </w:pPr>
          <w:r w:rsidR="56F7432D">
            <w:drawing>
              <wp:inline wp14:editId="67A4F619" wp14:anchorId="181B08EB">
                <wp:extent cx="1733550" cy="628650"/>
                <wp:effectExtent l="0" t="0" r="0" b="0"/>
                <wp:docPr id="2048982227" name="" title=""/>
                <wp:cNvGraphicFramePr>
                  <a:graphicFrameLocks noChangeAspect="1"/>
                </wp:cNvGraphicFramePr>
                <a:graphic>
                  <a:graphicData uri="http://schemas.openxmlformats.org/drawingml/2006/picture">
                    <pic:pic>
                      <pic:nvPicPr>
                        <pic:cNvPr id="0" name=""/>
                        <pic:cNvPicPr/>
                      </pic:nvPicPr>
                      <pic:blipFill>
                        <a:blip r:embed="Rd1c722a8b67a421a">
                          <a:extLst>
                            <a:ext xmlns:a="http://schemas.openxmlformats.org/drawingml/2006/main" uri="{28A0092B-C50C-407E-A947-70E740481C1C}">
                              <a14:useLocalDpi val="0"/>
                            </a:ext>
                          </a:extLst>
                        </a:blip>
                        <a:stretch>
                          <a:fillRect/>
                        </a:stretch>
                      </pic:blipFill>
                      <pic:spPr>
                        <a:xfrm>
                          <a:off x="0" y="0"/>
                          <a:ext cx="1733550" cy="628650"/>
                        </a:xfrm>
                        <a:prstGeom prst="rect">
                          <a:avLst/>
                        </a:prstGeom>
                      </pic:spPr>
                    </pic:pic>
                  </a:graphicData>
                </a:graphic>
              </wp:inline>
            </w:drawing>
          </w:r>
          <w:r>
            <w:br/>
          </w:r>
        </w:p>
      </w:tc>
    </w:tr>
  </w:tbl>
  <w:p w:rsidR="32A2C88A" w:rsidP="32A2C88A" w:rsidRDefault="32A2C88A" w14:paraId="5B83CBAF" w14:textId="7AC874E5">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0F0FDF"/>
    <w:multiLevelType w:val="multilevel"/>
    <w:tmpl w:val="F6EEC3AE"/>
    <w:lvl w:ilvl="0">
      <w:start w:val="1"/>
      <w:numFmt w:val="bullet"/>
      <w:lvlRestart w:val="0"/>
      <w:pStyle w:val="EPOBullet1stlevel"/>
      <w:lvlText w:val="§"/>
      <w:lvlJc w:val="left"/>
      <w:pPr>
        <w:tabs>
          <w:tab w:val="num" w:pos="1134"/>
        </w:tabs>
        <w:ind w:left="1134" w:hanging="567"/>
      </w:pPr>
      <w:rPr>
        <w:rFonts w:hint="default" w:ascii="Wingdings" w:hAnsi="Wingdings" w:cs="Arial"/>
      </w:rPr>
    </w:lvl>
    <w:lvl w:ilvl="1">
      <w:start w:val="1"/>
      <w:numFmt w:val="bullet"/>
      <w:lvlText w:val="§"/>
      <w:lvlJc w:val="left"/>
      <w:pPr>
        <w:tabs>
          <w:tab w:val="num" w:pos="1701"/>
        </w:tabs>
        <w:ind w:left="1701" w:hanging="567"/>
      </w:pPr>
      <w:rPr>
        <w:rFonts w:hint="default" w:ascii="Wingdings" w:hAnsi="Wingdings" w:cs="Arial"/>
      </w:rPr>
    </w:lvl>
    <w:lvl w:ilvl="2">
      <w:start w:val="1"/>
      <w:numFmt w:val="bullet"/>
      <w:lvlText w:val="§"/>
      <w:lvlJc w:val="left"/>
      <w:pPr>
        <w:tabs>
          <w:tab w:val="num" w:pos="2268"/>
        </w:tabs>
        <w:ind w:left="2268" w:hanging="567"/>
      </w:pPr>
      <w:rPr>
        <w:rFonts w:hint="default" w:ascii="Wingdings" w:hAnsi="Wingdings" w:cs="Arial"/>
      </w:rPr>
    </w:lvl>
    <w:lvl w:ilvl="3">
      <w:start w:val="1"/>
      <w:numFmt w:val="bullet"/>
      <w:lvlText w:val="§"/>
      <w:lvlJc w:val="left"/>
      <w:pPr>
        <w:tabs>
          <w:tab w:val="num" w:pos="2835"/>
        </w:tabs>
        <w:ind w:left="2835" w:hanging="567"/>
      </w:pPr>
      <w:rPr>
        <w:rFonts w:hint="default" w:ascii="Wingdings" w:hAnsi="Wingdings" w:cs="Arial"/>
      </w:rPr>
    </w:lvl>
    <w:lvl w:ilvl="4">
      <w:start w:val="1"/>
      <w:numFmt w:val="bullet"/>
      <w:lvlText w:val="§"/>
      <w:lvlJc w:val="left"/>
      <w:pPr>
        <w:tabs>
          <w:tab w:val="num" w:pos="3402"/>
        </w:tabs>
        <w:ind w:left="3402" w:hanging="567"/>
      </w:pPr>
      <w:rPr>
        <w:rFonts w:hint="default" w:ascii="Wingdings" w:hAnsi="Wingdings"/>
      </w:rPr>
    </w:lvl>
    <w:lvl w:ilvl="5">
      <w:start w:val="1"/>
      <w:numFmt w:val="bullet"/>
      <w:lvlText w:val="§"/>
      <w:lvlJc w:val="left"/>
      <w:pPr>
        <w:tabs>
          <w:tab w:val="num" w:pos="3969"/>
        </w:tabs>
        <w:ind w:left="3969" w:hanging="567"/>
      </w:pPr>
      <w:rPr>
        <w:rFonts w:hint="default" w:ascii="Wingdings" w:hAnsi="Wingdings"/>
      </w:rPr>
    </w:lvl>
    <w:lvl w:ilvl="6">
      <w:start w:val="1"/>
      <w:numFmt w:val="bullet"/>
      <w:lvlText w:val="§"/>
      <w:lvlJc w:val="left"/>
      <w:pPr>
        <w:tabs>
          <w:tab w:val="num" w:pos="4535"/>
        </w:tabs>
        <w:ind w:left="4535" w:hanging="566"/>
      </w:pPr>
      <w:rPr>
        <w:rFonts w:hint="default" w:ascii="Wingdings" w:hAnsi="Wingdings"/>
      </w:rPr>
    </w:lvl>
    <w:lvl w:ilvl="7">
      <w:start w:val="1"/>
      <w:numFmt w:val="bullet"/>
      <w:lvlText w:val="§"/>
      <w:lvlJc w:val="left"/>
      <w:pPr>
        <w:tabs>
          <w:tab w:val="num" w:pos="5102"/>
        </w:tabs>
        <w:ind w:left="5102" w:hanging="567"/>
      </w:pPr>
      <w:rPr>
        <w:rFonts w:hint="default" w:ascii="Wingdings" w:hAnsi="Wingdings"/>
      </w:rPr>
    </w:lvl>
    <w:lvl w:ilvl="8">
      <w:start w:val="1"/>
      <w:numFmt w:val="bullet"/>
      <w:lvlText w:val="§"/>
      <w:lvlJc w:val="left"/>
      <w:pPr>
        <w:tabs>
          <w:tab w:val="num" w:pos="5669"/>
        </w:tabs>
        <w:ind w:left="5669" w:hanging="567"/>
      </w:pPr>
      <w:rPr>
        <w:rFonts w:hint="default" w:ascii="Wingdings" w:hAnsi="Wingdings"/>
      </w:rPr>
    </w:lvl>
  </w:abstractNum>
  <w:abstractNum w:abstractNumId="1" w15:restartNumberingAfterBreak="0">
    <w:nsid w:val="24CA0CFF"/>
    <w:multiLevelType w:val="multilevel"/>
    <w:tmpl w:val="7C6EEA6E"/>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4CE3E8D"/>
    <w:multiLevelType w:val="multilevel"/>
    <w:tmpl w:val="A880E082"/>
    <w:lvl w:ilvl="0">
      <w:start w:val="1"/>
      <w:numFmt w:val="lowerLetter"/>
      <w:pStyle w:val="EPOList-letters"/>
      <w:lvlText w:val="%1."/>
      <w:lvlJc w:val="left"/>
      <w:pPr>
        <w:tabs>
          <w:tab w:val="num" w:pos="397"/>
        </w:tabs>
        <w:ind w:left="397" w:hanging="397"/>
      </w:pPr>
      <w:rPr>
        <w:rFonts w:ascii="Arial" w:hAnsi="Arial" w:cs="Arial"/>
      </w:rPr>
    </w:lvl>
    <w:lvl w:ilvl="1">
      <w:start w:val="1"/>
      <w:numFmt w:val="lowerLetter"/>
      <w:pStyle w:val="Heading2"/>
      <w:lvlText w:val="%2."/>
      <w:lvlJc w:val="left"/>
      <w:pPr>
        <w:tabs>
          <w:tab w:val="num" w:pos="964"/>
        </w:tabs>
        <w:ind w:left="964" w:hanging="397"/>
      </w:pPr>
      <w:rPr>
        <w:rFonts w:ascii="Arial" w:hAnsi="Arial" w:cs="Arial"/>
      </w:rPr>
    </w:lvl>
    <w:lvl w:ilvl="2">
      <w:start w:val="1"/>
      <w:numFmt w:val="lowerLetter"/>
      <w:pStyle w:val="Heading3"/>
      <w:lvlText w:val="%3."/>
      <w:lvlJc w:val="left"/>
      <w:pPr>
        <w:tabs>
          <w:tab w:val="num" w:pos="1531"/>
        </w:tabs>
        <w:ind w:left="1531" w:hanging="397"/>
      </w:pPr>
      <w:rPr>
        <w:rFonts w:ascii="Arial" w:hAnsi="Arial" w:cs="Arial"/>
      </w:rPr>
    </w:lvl>
    <w:lvl w:ilvl="3">
      <w:start w:val="1"/>
      <w:numFmt w:val="lowerLetter"/>
      <w:pStyle w:val="Heading4"/>
      <w:lvlText w:val="%4."/>
      <w:lvlJc w:val="left"/>
      <w:pPr>
        <w:tabs>
          <w:tab w:val="num" w:pos="2098"/>
        </w:tabs>
        <w:ind w:left="2098" w:hanging="397"/>
      </w:pPr>
      <w:rPr>
        <w:rFonts w:ascii="Arial" w:hAnsi="Arial" w:cs="Arial"/>
      </w:rPr>
    </w:lvl>
    <w:lvl w:ilvl="4">
      <w:start w:val="1"/>
      <w:numFmt w:val="lowerLetter"/>
      <w:pStyle w:val="Heading5"/>
      <w:lvlText w:val="%5."/>
      <w:lvlJc w:val="left"/>
      <w:pPr>
        <w:tabs>
          <w:tab w:val="num" w:pos="2665"/>
        </w:tabs>
        <w:ind w:left="2665" w:hanging="397"/>
      </w:pPr>
      <w:rPr>
        <w:rFonts w:ascii="Arial" w:hAnsi="Arial" w:cs="Arial"/>
      </w:rPr>
    </w:lvl>
    <w:lvl w:ilvl="5">
      <w:start w:val="1"/>
      <w:numFmt w:val="lowerLetter"/>
      <w:pStyle w:val="Heading6"/>
      <w:lvlText w:val="%6."/>
      <w:lvlJc w:val="left"/>
      <w:pPr>
        <w:tabs>
          <w:tab w:val="num" w:pos="3231"/>
        </w:tabs>
        <w:ind w:left="3231" w:hanging="396"/>
      </w:pPr>
      <w:rPr>
        <w:rFonts w:ascii="Arial" w:hAnsi="Arial" w:cs="Arial"/>
      </w:rPr>
    </w:lvl>
    <w:lvl w:ilvl="6">
      <w:start w:val="1"/>
      <w:numFmt w:val="lowerLetter"/>
      <w:pStyle w:val="Heading7"/>
      <w:lvlText w:val="%7."/>
      <w:lvlJc w:val="left"/>
      <w:pPr>
        <w:tabs>
          <w:tab w:val="num" w:pos="3798"/>
        </w:tabs>
        <w:ind w:left="3798" w:hanging="396"/>
      </w:pPr>
      <w:rPr>
        <w:rFonts w:ascii="Arial" w:hAnsi="Arial" w:cs="Arial"/>
      </w:rPr>
    </w:lvl>
    <w:lvl w:ilvl="7">
      <w:start w:val="1"/>
      <w:numFmt w:val="lowerLetter"/>
      <w:pStyle w:val="Heading8"/>
      <w:lvlText w:val="%8."/>
      <w:lvlJc w:val="left"/>
      <w:pPr>
        <w:tabs>
          <w:tab w:val="num" w:pos="4365"/>
        </w:tabs>
        <w:ind w:left="4365" w:hanging="396"/>
      </w:pPr>
      <w:rPr>
        <w:rFonts w:ascii="Arial" w:hAnsi="Arial" w:cs="Arial"/>
      </w:rPr>
    </w:lvl>
    <w:lvl w:ilvl="8">
      <w:start w:val="1"/>
      <w:numFmt w:val="lowerLetter"/>
      <w:pStyle w:val="Heading9"/>
      <w:lvlText w:val="%9."/>
      <w:lvlJc w:val="left"/>
      <w:pPr>
        <w:tabs>
          <w:tab w:val="num" w:pos="4932"/>
        </w:tabs>
        <w:ind w:left="4932" w:hanging="397"/>
      </w:pPr>
      <w:rPr>
        <w:rFonts w:ascii="Arial" w:hAnsi="Arial" w:cs="Arial"/>
      </w:rPr>
    </w:lvl>
  </w:abstractNum>
  <w:abstractNum w:abstractNumId="3" w15:restartNumberingAfterBreak="0">
    <w:nsid w:val="274072E5"/>
    <w:multiLevelType w:val="multilevel"/>
    <w:tmpl w:val="884C59FE"/>
    <w:lvl w:ilvl="0">
      <w:start w:val="1"/>
      <w:numFmt w:val="bullet"/>
      <w:pStyle w:val="EPOBullet2ndlevel"/>
      <w:lvlText w:val="-"/>
      <w:lvlJc w:val="left"/>
      <w:pPr>
        <w:tabs>
          <w:tab w:val="num" w:pos="1701"/>
        </w:tabs>
        <w:ind w:left="1701" w:hanging="567"/>
      </w:pPr>
      <w:rPr>
        <w:rFonts w:hint="default" w:ascii="Symbol" w:hAnsi="Symbol"/>
      </w:rPr>
    </w:lvl>
    <w:lvl w:ilvl="1">
      <w:start w:val="1"/>
      <w:numFmt w:val="bullet"/>
      <w:lvlText w:val="-"/>
      <w:lvlJc w:val="left"/>
      <w:pPr>
        <w:tabs>
          <w:tab w:val="num" w:pos="2268"/>
        </w:tabs>
        <w:ind w:left="2268" w:hanging="567"/>
      </w:pPr>
      <w:rPr>
        <w:rFonts w:hint="default" w:ascii="Symbol" w:hAnsi="Symbol"/>
      </w:rPr>
    </w:lvl>
    <w:lvl w:ilvl="2">
      <w:start w:val="1"/>
      <w:numFmt w:val="bullet"/>
      <w:lvlText w:val="-"/>
      <w:lvlJc w:val="left"/>
      <w:pPr>
        <w:tabs>
          <w:tab w:val="num" w:pos="2835"/>
        </w:tabs>
        <w:ind w:left="2835" w:hanging="567"/>
      </w:pPr>
      <w:rPr>
        <w:rFonts w:hint="default" w:ascii="Symbol" w:hAnsi="Symbol"/>
      </w:rPr>
    </w:lvl>
    <w:lvl w:ilvl="3">
      <w:start w:val="1"/>
      <w:numFmt w:val="bullet"/>
      <w:lvlText w:val="-"/>
      <w:lvlJc w:val="left"/>
      <w:pPr>
        <w:tabs>
          <w:tab w:val="num" w:pos="3402"/>
        </w:tabs>
        <w:ind w:left="3402" w:hanging="567"/>
      </w:pPr>
      <w:rPr>
        <w:rFonts w:hint="default" w:ascii="Symbol" w:hAnsi="Symbol"/>
      </w:rPr>
    </w:lvl>
    <w:lvl w:ilvl="4">
      <w:start w:val="1"/>
      <w:numFmt w:val="bullet"/>
      <w:lvlText w:val="-"/>
      <w:lvlJc w:val="left"/>
      <w:pPr>
        <w:tabs>
          <w:tab w:val="num" w:pos="3969"/>
        </w:tabs>
        <w:ind w:left="3969" w:hanging="567"/>
      </w:pPr>
      <w:rPr>
        <w:rFonts w:hint="default" w:ascii="Symbol" w:hAnsi="Symbol"/>
      </w:rPr>
    </w:lvl>
    <w:lvl w:ilvl="5">
      <w:start w:val="1"/>
      <w:numFmt w:val="bullet"/>
      <w:lvlText w:val="-"/>
      <w:lvlJc w:val="left"/>
      <w:pPr>
        <w:tabs>
          <w:tab w:val="num" w:pos="4535"/>
        </w:tabs>
        <w:ind w:left="4535" w:hanging="566"/>
      </w:pPr>
      <w:rPr>
        <w:rFonts w:hint="default" w:ascii="Symbol" w:hAnsi="Symbol"/>
      </w:rPr>
    </w:lvl>
    <w:lvl w:ilvl="6">
      <w:start w:val="1"/>
      <w:numFmt w:val="bullet"/>
      <w:lvlText w:val="-"/>
      <w:lvlJc w:val="left"/>
      <w:pPr>
        <w:tabs>
          <w:tab w:val="num" w:pos="5102"/>
        </w:tabs>
        <w:ind w:left="5102" w:hanging="567"/>
      </w:pPr>
      <w:rPr>
        <w:rFonts w:hint="default" w:ascii="Symbol" w:hAnsi="Symbol"/>
      </w:rPr>
    </w:lvl>
    <w:lvl w:ilvl="7">
      <w:start w:val="1"/>
      <w:numFmt w:val="bullet"/>
      <w:lvlText w:val="-"/>
      <w:lvlJc w:val="left"/>
      <w:pPr>
        <w:tabs>
          <w:tab w:val="num" w:pos="5669"/>
        </w:tabs>
        <w:ind w:left="5669" w:hanging="567"/>
      </w:pPr>
      <w:rPr>
        <w:rFonts w:hint="default" w:ascii="Symbol" w:hAnsi="Symbol"/>
      </w:rPr>
    </w:lvl>
    <w:lvl w:ilvl="8">
      <w:start w:val="1"/>
      <w:numFmt w:val="bullet"/>
      <w:lvlText w:val="-"/>
      <w:lvlJc w:val="left"/>
      <w:pPr>
        <w:tabs>
          <w:tab w:val="num" w:pos="6236"/>
        </w:tabs>
        <w:ind w:left="6236" w:hanging="567"/>
      </w:pPr>
      <w:rPr>
        <w:rFonts w:hint="default" w:ascii="Symbol" w:hAnsi="Symbol"/>
      </w:rPr>
    </w:lvl>
  </w:abstractNum>
  <w:abstractNum w:abstractNumId="4" w15:restartNumberingAfterBreak="0">
    <w:nsid w:val="4576783D"/>
    <w:multiLevelType w:val="multilevel"/>
    <w:tmpl w:val="06D2272C"/>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C4F0C14"/>
    <w:multiLevelType w:val="hybridMultilevel"/>
    <w:tmpl w:val="FFFFFFFF"/>
    <w:lvl w:ilvl="0" w:tplc="7E3C5B72">
      <w:start w:val="1"/>
      <w:numFmt w:val="bullet"/>
      <w:lvlText w:val="●"/>
      <w:lvlJc w:val="left"/>
      <w:pPr>
        <w:ind w:left="720" w:hanging="360"/>
      </w:pPr>
      <w:rPr>
        <w:rFonts w:hint="default" w:ascii="Noto Sans Symbols" w:hAnsi="Noto Sans Symbols"/>
      </w:rPr>
    </w:lvl>
    <w:lvl w:ilvl="1" w:tplc="8D7A1C38">
      <w:start w:val="1"/>
      <w:numFmt w:val="bullet"/>
      <w:lvlText w:val="o"/>
      <w:lvlJc w:val="left"/>
      <w:pPr>
        <w:ind w:left="1440" w:hanging="360"/>
      </w:pPr>
      <w:rPr>
        <w:rFonts w:hint="default" w:ascii="Courier New" w:hAnsi="Courier New"/>
      </w:rPr>
    </w:lvl>
    <w:lvl w:ilvl="2" w:tplc="E744C1A4">
      <w:start w:val="1"/>
      <w:numFmt w:val="bullet"/>
      <w:lvlText w:val="▪"/>
      <w:lvlJc w:val="left"/>
      <w:pPr>
        <w:ind w:left="2160" w:hanging="360"/>
      </w:pPr>
      <w:rPr>
        <w:rFonts w:hint="default" w:ascii="Noto Sans Symbols" w:hAnsi="Noto Sans Symbols"/>
      </w:rPr>
    </w:lvl>
    <w:lvl w:ilvl="3" w:tplc="6860BCDE">
      <w:start w:val="1"/>
      <w:numFmt w:val="bullet"/>
      <w:lvlText w:val="●"/>
      <w:lvlJc w:val="left"/>
      <w:pPr>
        <w:ind w:left="2880" w:hanging="360"/>
      </w:pPr>
      <w:rPr>
        <w:rFonts w:hint="default" w:ascii="Noto Sans Symbols" w:hAnsi="Noto Sans Symbols"/>
      </w:rPr>
    </w:lvl>
    <w:lvl w:ilvl="4" w:tplc="2A4882D8">
      <w:start w:val="1"/>
      <w:numFmt w:val="bullet"/>
      <w:lvlText w:val="o"/>
      <w:lvlJc w:val="left"/>
      <w:pPr>
        <w:ind w:left="3600" w:hanging="360"/>
      </w:pPr>
      <w:rPr>
        <w:rFonts w:hint="default" w:ascii="Courier New" w:hAnsi="Courier New"/>
      </w:rPr>
    </w:lvl>
    <w:lvl w:ilvl="5" w:tplc="068A593C">
      <w:start w:val="1"/>
      <w:numFmt w:val="bullet"/>
      <w:lvlText w:val="▪"/>
      <w:lvlJc w:val="left"/>
      <w:pPr>
        <w:ind w:left="4320" w:hanging="360"/>
      </w:pPr>
      <w:rPr>
        <w:rFonts w:hint="default" w:ascii="Noto Sans Symbols" w:hAnsi="Noto Sans Symbols"/>
      </w:rPr>
    </w:lvl>
    <w:lvl w:ilvl="6" w:tplc="AE1E3BF2">
      <w:start w:val="1"/>
      <w:numFmt w:val="bullet"/>
      <w:lvlText w:val="●"/>
      <w:lvlJc w:val="left"/>
      <w:pPr>
        <w:ind w:left="5040" w:hanging="360"/>
      </w:pPr>
      <w:rPr>
        <w:rFonts w:hint="default" w:ascii="Noto Sans Symbols" w:hAnsi="Noto Sans Symbols"/>
      </w:rPr>
    </w:lvl>
    <w:lvl w:ilvl="7" w:tplc="0E9E0B1C">
      <w:start w:val="1"/>
      <w:numFmt w:val="bullet"/>
      <w:lvlText w:val="o"/>
      <w:lvlJc w:val="left"/>
      <w:pPr>
        <w:ind w:left="5760" w:hanging="360"/>
      </w:pPr>
      <w:rPr>
        <w:rFonts w:hint="default" w:ascii="Courier New" w:hAnsi="Courier New"/>
      </w:rPr>
    </w:lvl>
    <w:lvl w:ilvl="8" w:tplc="70F4D6C0">
      <w:start w:val="1"/>
      <w:numFmt w:val="bullet"/>
      <w:lvlText w:val="▪"/>
      <w:lvlJc w:val="left"/>
      <w:pPr>
        <w:ind w:left="6480" w:hanging="360"/>
      </w:pPr>
      <w:rPr>
        <w:rFonts w:hint="default" w:ascii="Noto Sans Symbols" w:hAnsi="Noto Sans Symbols"/>
      </w:rPr>
    </w:lvl>
  </w:abstractNum>
  <w:abstractNum w:abstractNumId="6" w15:restartNumberingAfterBreak="0">
    <w:nsid w:val="675D347D"/>
    <w:multiLevelType w:val="multilevel"/>
    <w:tmpl w:val="39528292"/>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tabs>
          <w:tab w:val="num" w:pos="794"/>
        </w:tabs>
        <w:ind w:left="794" w:hanging="794"/>
      </w:pPr>
      <w:rPr>
        <w:rFonts w:ascii="Arial" w:hAnsi="Arial" w:cs="Aria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7F57692"/>
    <w:multiLevelType w:val="multilevel"/>
    <w:tmpl w:val="360CCC62"/>
    <w:lvl w:ilvl="0">
      <w:start w:val="1"/>
      <w:numFmt w:val="decimal"/>
      <w:pStyle w:val="EPOAnnex"/>
      <w:lvlText w:val="Annex %1"/>
      <w:lvlJc w:val="left"/>
      <w:pPr>
        <w:tabs>
          <w:tab w:val="num" w:pos="567"/>
        </w:tabs>
        <w:ind w:left="567" w:hanging="567"/>
      </w:pPr>
      <w:rPr>
        <w:rFonts w:ascii="Arial" w:hAnsi="Arial" w:cs="Arial"/>
      </w:rPr>
    </w:lvl>
    <w:lvl w:ilvl="1">
      <w:start w:val="1"/>
      <w:numFmt w:val="decimal"/>
      <w:lvlText w:val="Annex %2"/>
      <w:lvlJc w:val="left"/>
      <w:pPr>
        <w:tabs>
          <w:tab w:val="num" w:pos="1134"/>
        </w:tabs>
        <w:ind w:left="1134" w:hanging="567"/>
      </w:pPr>
      <w:rPr>
        <w:rFonts w:ascii="Arial" w:hAnsi="Arial" w:cs="Arial"/>
      </w:rPr>
    </w:lvl>
    <w:lvl w:ilvl="2">
      <w:start w:val="1"/>
      <w:numFmt w:val="decimal"/>
      <w:lvlText w:val="Annex %3"/>
      <w:lvlJc w:val="left"/>
      <w:pPr>
        <w:tabs>
          <w:tab w:val="num" w:pos="1701"/>
        </w:tabs>
        <w:ind w:left="1701" w:hanging="567"/>
      </w:pPr>
      <w:rPr>
        <w:rFonts w:ascii="Arial" w:hAnsi="Arial" w:cs="Arial"/>
      </w:rPr>
    </w:lvl>
    <w:lvl w:ilvl="3">
      <w:start w:val="1"/>
      <w:numFmt w:val="decimal"/>
      <w:lvlText w:val="Annex %4"/>
      <w:lvlJc w:val="left"/>
      <w:pPr>
        <w:tabs>
          <w:tab w:val="num" w:pos="2268"/>
        </w:tabs>
        <w:ind w:left="2268" w:hanging="567"/>
      </w:pPr>
      <w:rPr>
        <w:rFonts w:ascii="Arial" w:hAnsi="Arial" w:cs="Arial"/>
      </w:rPr>
    </w:lvl>
    <w:lvl w:ilvl="4">
      <w:start w:val="1"/>
      <w:numFmt w:val="decimal"/>
      <w:lvlText w:val="Annex %5"/>
      <w:lvlJc w:val="left"/>
      <w:pPr>
        <w:tabs>
          <w:tab w:val="num" w:pos="2835"/>
        </w:tabs>
        <w:ind w:left="2835" w:hanging="567"/>
      </w:pPr>
      <w:rPr>
        <w:rFonts w:ascii="Arial" w:hAnsi="Arial" w:cs="Arial"/>
      </w:rPr>
    </w:lvl>
    <w:lvl w:ilvl="5">
      <w:start w:val="1"/>
      <w:numFmt w:val="decimal"/>
      <w:lvlText w:val="Annex %6"/>
      <w:lvlJc w:val="left"/>
      <w:pPr>
        <w:tabs>
          <w:tab w:val="num" w:pos="3402"/>
        </w:tabs>
        <w:ind w:left="3402" w:hanging="567"/>
      </w:pPr>
      <w:rPr>
        <w:rFonts w:ascii="Arial" w:hAnsi="Arial" w:cs="Arial"/>
      </w:rPr>
    </w:lvl>
    <w:lvl w:ilvl="6">
      <w:start w:val="1"/>
      <w:numFmt w:val="decimal"/>
      <w:lvlText w:val="Annex %7"/>
      <w:lvlJc w:val="left"/>
      <w:pPr>
        <w:tabs>
          <w:tab w:val="num" w:pos="3969"/>
        </w:tabs>
        <w:ind w:left="3969" w:hanging="567"/>
      </w:pPr>
      <w:rPr>
        <w:rFonts w:ascii="Arial" w:hAnsi="Arial" w:cs="Arial"/>
      </w:rPr>
    </w:lvl>
    <w:lvl w:ilvl="7">
      <w:start w:val="1"/>
      <w:numFmt w:val="decimal"/>
      <w:lvlText w:val="Annex %8"/>
      <w:lvlJc w:val="left"/>
      <w:pPr>
        <w:tabs>
          <w:tab w:val="num" w:pos="4535"/>
        </w:tabs>
        <w:ind w:left="4535" w:hanging="566"/>
      </w:pPr>
      <w:rPr>
        <w:rFonts w:ascii="Arial" w:hAnsi="Arial" w:cs="Arial"/>
      </w:rPr>
    </w:lvl>
    <w:lvl w:ilvl="8">
      <w:start w:val="1"/>
      <w:numFmt w:val="decimal"/>
      <w:lvlText w:val="Annex %9"/>
      <w:lvlJc w:val="left"/>
      <w:pPr>
        <w:tabs>
          <w:tab w:val="num" w:pos="5102"/>
        </w:tabs>
        <w:ind w:left="5102" w:hanging="567"/>
      </w:pPr>
      <w:rPr>
        <w:rFonts w:ascii="Arial" w:hAnsi="Arial" w:cs="Arial"/>
      </w:rPr>
    </w:lvl>
  </w:abstractNum>
  <w:abstractNum w:abstractNumId="8" w15:restartNumberingAfterBreak="0">
    <w:nsid w:val="6F7E0B7A"/>
    <w:multiLevelType w:val="multilevel"/>
    <w:tmpl w:val="463603A4"/>
    <w:lvl w:ilvl="0">
      <w:start w:val="1"/>
      <w:numFmt w:val="decimal"/>
      <w:pStyle w:val="EPOList-numbers"/>
      <w:lvlText w:val="%1."/>
      <w:lvlJc w:val="left"/>
      <w:pPr>
        <w:tabs>
          <w:tab w:val="num" w:pos="397"/>
        </w:tabs>
        <w:ind w:left="397" w:hanging="397"/>
      </w:pPr>
      <w:rPr>
        <w:rFonts w:ascii="Arial" w:hAnsi="Arial" w:cs="Arial"/>
      </w:rPr>
    </w:lvl>
    <w:lvl w:ilvl="1">
      <w:start w:val="1"/>
      <w:numFmt w:val="decimal"/>
      <w:lvlText w:val="%2."/>
      <w:lvlJc w:val="left"/>
      <w:pPr>
        <w:tabs>
          <w:tab w:val="num" w:pos="964"/>
        </w:tabs>
        <w:ind w:left="964" w:hanging="397"/>
      </w:pPr>
      <w:rPr>
        <w:rFonts w:ascii="Arial" w:hAnsi="Arial" w:cs="Arial"/>
      </w:rPr>
    </w:lvl>
    <w:lvl w:ilvl="2">
      <w:start w:val="1"/>
      <w:numFmt w:val="decimal"/>
      <w:lvlText w:val="%3."/>
      <w:lvlJc w:val="left"/>
      <w:pPr>
        <w:tabs>
          <w:tab w:val="num" w:pos="1531"/>
        </w:tabs>
        <w:ind w:left="1531" w:hanging="397"/>
      </w:pPr>
      <w:rPr>
        <w:rFonts w:ascii="Arial" w:hAnsi="Arial" w:cs="Arial"/>
      </w:rPr>
    </w:lvl>
    <w:lvl w:ilvl="3">
      <w:start w:val="1"/>
      <w:numFmt w:val="decimal"/>
      <w:lvlText w:val="%4."/>
      <w:lvlJc w:val="left"/>
      <w:pPr>
        <w:tabs>
          <w:tab w:val="num" w:pos="2098"/>
        </w:tabs>
        <w:ind w:left="2098" w:hanging="397"/>
      </w:pPr>
      <w:rPr>
        <w:rFonts w:ascii="Arial" w:hAnsi="Arial" w:cs="Arial"/>
      </w:rPr>
    </w:lvl>
    <w:lvl w:ilvl="4">
      <w:start w:val="1"/>
      <w:numFmt w:val="decimal"/>
      <w:lvlText w:val="%5."/>
      <w:lvlJc w:val="left"/>
      <w:pPr>
        <w:tabs>
          <w:tab w:val="num" w:pos="2665"/>
        </w:tabs>
        <w:ind w:left="2665" w:hanging="397"/>
      </w:pPr>
      <w:rPr>
        <w:rFonts w:ascii="Arial" w:hAnsi="Arial" w:cs="Arial"/>
      </w:rPr>
    </w:lvl>
    <w:lvl w:ilvl="5">
      <w:start w:val="1"/>
      <w:numFmt w:val="decimal"/>
      <w:lvlText w:val="%6."/>
      <w:lvlJc w:val="left"/>
      <w:pPr>
        <w:tabs>
          <w:tab w:val="num" w:pos="3231"/>
        </w:tabs>
        <w:ind w:left="3231" w:hanging="396"/>
      </w:pPr>
      <w:rPr>
        <w:rFonts w:ascii="Arial" w:hAnsi="Arial" w:cs="Arial"/>
      </w:rPr>
    </w:lvl>
    <w:lvl w:ilvl="6">
      <w:start w:val="1"/>
      <w:numFmt w:val="decimal"/>
      <w:lvlText w:val="%7."/>
      <w:lvlJc w:val="left"/>
      <w:pPr>
        <w:tabs>
          <w:tab w:val="num" w:pos="3798"/>
        </w:tabs>
        <w:ind w:left="3798" w:hanging="396"/>
      </w:pPr>
      <w:rPr>
        <w:rFonts w:ascii="Arial" w:hAnsi="Arial" w:cs="Arial"/>
      </w:rPr>
    </w:lvl>
    <w:lvl w:ilvl="7">
      <w:start w:val="1"/>
      <w:numFmt w:val="decimal"/>
      <w:lvlText w:val="%8."/>
      <w:lvlJc w:val="left"/>
      <w:pPr>
        <w:tabs>
          <w:tab w:val="num" w:pos="4365"/>
        </w:tabs>
        <w:ind w:left="4365" w:hanging="396"/>
      </w:pPr>
      <w:rPr>
        <w:rFonts w:ascii="Arial" w:hAnsi="Arial" w:cs="Arial"/>
      </w:rPr>
    </w:lvl>
    <w:lvl w:ilvl="8">
      <w:start w:val="1"/>
      <w:numFmt w:val="decimal"/>
      <w:lvlText w:val="%9."/>
      <w:lvlJc w:val="left"/>
      <w:pPr>
        <w:tabs>
          <w:tab w:val="num" w:pos="4932"/>
        </w:tabs>
        <w:ind w:left="4932" w:hanging="397"/>
      </w:pPr>
      <w:rPr>
        <w:rFonts w:ascii="Arial" w:hAnsi="Arial" w:cs="Arial"/>
      </w:rPr>
    </w:lvl>
  </w:abstractNum>
  <w:abstractNum w:abstractNumId="9" w15:restartNumberingAfterBreak="0">
    <w:nsid w:val="74731F66"/>
    <w:multiLevelType w:val="multilevel"/>
    <w:tmpl w:val="6A3AB30E"/>
    <w:lvl w:ilvl="0">
      <w:start w:val="1"/>
      <w:numFmt w:val="decimal"/>
      <w:lvlRestart w:val="0"/>
      <w:pStyle w:val="EPOHeading1"/>
      <w:lvlText w:val="%1."/>
      <w:lvlJc w:val="left"/>
      <w:pPr>
        <w:tabs>
          <w:tab w:val="num" w:pos="567"/>
        </w:tabs>
        <w:ind w:left="567" w:hanging="567"/>
      </w:pPr>
      <w:rPr>
        <w:rFonts w:ascii="Arial" w:hAnsi="Arial" w:cs="Arial"/>
      </w:rPr>
    </w:lvl>
    <w:lvl w:ilvl="1">
      <w:start w:val="1"/>
      <w:numFmt w:val="decimal"/>
      <w:pStyle w:val="EPOHeading2"/>
      <w:lvlText w:val="%1.%2."/>
      <w:lvlJc w:val="left"/>
      <w:pPr>
        <w:tabs>
          <w:tab w:val="num" w:pos="680"/>
        </w:tabs>
        <w:ind w:left="680" w:hanging="680"/>
      </w:pPr>
      <w:rPr>
        <w:rFonts w:ascii="Arial" w:hAnsi="Arial" w:cs="Arial"/>
      </w:rPr>
    </w:lvl>
    <w:lvl w:ilvl="2">
      <w:start w:val="1"/>
      <w:numFmt w:val="decimal"/>
      <w:pStyle w:val="EPOHeading3"/>
      <w:lvlText w:val="%1.%2.%3."/>
      <w:lvlJc w:val="left"/>
      <w:pPr>
        <w:tabs>
          <w:tab w:val="num" w:pos="794"/>
        </w:tabs>
        <w:ind w:left="794" w:hanging="794"/>
      </w:pPr>
      <w:rPr>
        <w:rFonts w:ascii="Arial" w:hAnsi="Arial" w:cs="Arial"/>
      </w:rPr>
    </w:lvl>
    <w:lvl w:ilvl="3">
      <w:start w:val="1"/>
      <w:numFmt w:val="decimal"/>
      <w:pStyle w:val="EPOHeading4"/>
      <w:lvlText w:val="%1.%2.%3.%4."/>
      <w:lvlJc w:val="left"/>
      <w:pPr>
        <w:tabs>
          <w:tab w:val="num" w:pos="964"/>
        </w:tabs>
        <w:ind w:left="964" w:hanging="964"/>
      </w:pPr>
      <w:rPr>
        <w:rFonts w:ascii="Arial" w:hAnsi="Arial" w:cs="Aria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32889448">
    <w:abstractNumId w:val="5"/>
  </w:num>
  <w:num w:numId="2" w16cid:durableId="1140078323">
    <w:abstractNumId w:val="7"/>
  </w:num>
  <w:num w:numId="3" w16cid:durableId="1258244964">
    <w:abstractNumId w:val="1"/>
  </w:num>
  <w:num w:numId="4" w16cid:durableId="79302371">
    <w:abstractNumId w:val="4"/>
  </w:num>
  <w:num w:numId="5" w16cid:durableId="362364162">
    <w:abstractNumId w:val="6"/>
  </w:num>
  <w:num w:numId="6" w16cid:durableId="1024669369">
    <w:abstractNumId w:val="9"/>
  </w:num>
  <w:num w:numId="7" w16cid:durableId="768310407">
    <w:abstractNumId w:val="0"/>
  </w:num>
  <w:num w:numId="8" w16cid:durableId="228467450">
    <w:abstractNumId w:val="3"/>
  </w:num>
  <w:num w:numId="9" w16cid:durableId="1517422024">
    <w:abstractNumId w:val="8"/>
  </w:num>
  <w:num w:numId="10" w16cid:durableId="16077312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2EA"/>
    <w:rsid w:val="00000442"/>
    <w:rsid w:val="00064E87"/>
    <w:rsid w:val="000A4CC1"/>
    <w:rsid w:val="000B6964"/>
    <w:rsid w:val="001275AF"/>
    <w:rsid w:val="001B5821"/>
    <w:rsid w:val="00215ECF"/>
    <w:rsid w:val="002B31BD"/>
    <w:rsid w:val="003C70CB"/>
    <w:rsid w:val="006E0257"/>
    <w:rsid w:val="006E524F"/>
    <w:rsid w:val="00777396"/>
    <w:rsid w:val="007A7533"/>
    <w:rsid w:val="008B2EEC"/>
    <w:rsid w:val="009A07D2"/>
    <w:rsid w:val="009F08B1"/>
    <w:rsid w:val="00AF05D0"/>
    <w:rsid w:val="00B7105E"/>
    <w:rsid w:val="00B932EA"/>
    <w:rsid w:val="00BD16B6"/>
    <w:rsid w:val="00BD670E"/>
    <w:rsid w:val="00EF7AF4"/>
    <w:rsid w:val="00F9300A"/>
    <w:rsid w:val="00FD61FC"/>
    <w:rsid w:val="00FF67D7"/>
    <w:rsid w:val="01AA0FFF"/>
    <w:rsid w:val="025E3489"/>
    <w:rsid w:val="06D21F51"/>
    <w:rsid w:val="073B281E"/>
    <w:rsid w:val="07F2C225"/>
    <w:rsid w:val="09D88E2A"/>
    <w:rsid w:val="09F897D5"/>
    <w:rsid w:val="0AA4F435"/>
    <w:rsid w:val="0BCEC700"/>
    <w:rsid w:val="0CF2D830"/>
    <w:rsid w:val="0E20881C"/>
    <w:rsid w:val="0E90FC56"/>
    <w:rsid w:val="11065112"/>
    <w:rsid w:val="158FA341"/>
    <w:rsid w:val="1608861F"/>
    <w:rsid w:val="16894694"/>
    <w:rsid w:val="16BB14AD"/>
    <w:rsid w:val="178FB8A7"/>
    <w:rsid w:val="19212965"/>
    <w:rsid w:val="19D06DB3"/>
    <w:rsid w:val="1B7FA93C"/>
    <w:rsid w:val="1BE4F11B"/>
    <w:rsid w:val="1D29B3C5"/>
    <w:rsid w:val="1DEA5E39"/>
    <w:rsid w:val="21571650"/>
    <w:rsid w:val="2165F901"/>
    <w:rsid w:val="230C1807"/>
    <w:rsid w:val="25BC22E2"/>
    <w:rsid w:val="289F941B"/>
    <w:rsid w:val="2A6DEF08"/>
    <w:rsid w:val="2B52819C"/>
    <w:rsid w:val="2B75E5EC"/>
    <w:rsid w:val="2C563ED9"/>
    <w:rsid w:val="2D801CC8"/>
    <w:rsid w:val="2DECD53B"/>
    <w:rsid w:val="3167802B"/>
    <w:rsid w:val="32177B1F"/>
    <w:rsid w:val="32A2C88A"/>
    <w:rsid w:val="33663952"/>
    <w:rsid w:val="33982D6D"/>
    <w:rsid w:val="3399C541"/>
    <w:rsid w:val="34A2AC6F"/>
    <w:rsid w:val="3AA78A7E"/>
    <w:rsid w:val="3CA6C638"/>
    <w:rsid w:val="3D072C77"/>
    <w:rsid w:val="3D9DF5C5"/>
    <w:rsid w:val="3F6237EB"/>
    <w:rsid w:val="41AE0340"/>
    <w:rsid w:val="423D4BAB"/>
    <w:rsid w:val="432161DC"/>
    <w:rsid w:val="4452E669"/>
    <w:rsid w:val="450D641D"/>
    <w:rsid w:val="4550BA5D"/>
    <w:rsid w:val="4618B7C7"/>
    <w:rsid w:val="4A3F8B10"/>
    <w:rsid w:val="4A83A18C"/>
    <w:rsid w:val="4C1C18E8"/>
    <w:rsid w:val="4CAF1BC5"/>
    <w:rsid w:val="4EC69C87"/>
    <w:rsid w:val="4F131A27"/>
    <w:rsid w:val="5063D49B"/>
    <w:rsid w:val="51CA403B"/>
    <w:rsid w:val="5602A2FF"/>
    <w:rsid w:val="56D9E9EF"/>
    <w:rsid w:val="56F7432D"/>
    <w:rsid w:val="585C7251"/>
    <w:rsid w:val="599A8709"/>
    <w:rsid w:val="5A26C2CC"/>
    <w:rsid w:val="5A608430"/>
    <w:rsid w:val="5ED702F8"/>
    <w:rsid w:val="6347C243"/>
    <w:rsid w:val="63CBBC5A"/>
    <w:rsid w:val="64E9FF73"/>
    <w:rsid w:val="654C5650"/>
    <w:rsid w:val="66E4BFAF"/>
    <w:rsid w:val="6708EC3C"/>
    <w:rsid w:val="699BEC17"/>
    <w:rsid w:val="6B715B59"/>
    <w:rsid w:val="6BE3119B"/>
    <w:rsid w:val="6D0D2BBA"/>
    <w:rsid w:val="6D67EE6B"/>
    <w:rsid w:val="6DA4994D"/>
    <w:rsid w:val="7044CC7C"/>
    <w:rsid w:val="70B1C438"/>
    <w:rsid w:val="711DA86E"/>
    <w:rsid w:val="7475103C"/>
    <w:rsid w:val="74FC15E3"/>
    <w:rsid w:val="753F2D8D"/>
    <w:rsid w:val="75D0BC96"/>
    <w:rsid w:val="771066E4"/>
    <w:rsid w:val="7799E874"/>
    <w:rsid w:val="77EA2FDC"/>
    <w:rsid w:val="7A10A22C"/>
    <w:rsid w:val="7A7F6AD6"/>
    <w:rsid w:val="7ACE9B85"/>
    <w:rsid w:val="7B760F0B"/>
    <w:rsid w:val="7C1695E6"/>
    <w:rsid w:val="7D8EB830"/>
    <w:rsid w:val="7EE4DB33"/>
    <w:rsid w:val="7F7B33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9E396"/>
  <w15:docId w15:val="{497AFA52-E161-4066-963D-67A408340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de-DE"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eastAsia="zh-CN" w:bidi="hi-IN"/>
    </w:rPr>
  </w:style>
  <w:style w:type="paragraph" w:styleId="Heading1">
    <w:name w:val="heading 1"/>
    <w:basedOn w:val="LO-normal"/>
    <w:next w:val="LO-normal"/>
    <w:uiPriority w:val="9"/>
    <w:qFormat/>
    <w:pPr>
      <w:keepNext/>
      <w:keepLines/>
      <w:spacing w:before="400" w:after="120" w:line="240" w:lineRule="auto"/>
      <w:outlineLvl w:val="0"/>
    </w:pPr>
    <w:rPr>
      <w:sz w:val="40"/>
      <w:szCs w:val="40"/>
    </w:rPr>
  </w:style>
  <w:style w:type="paragraph" w:styleId="Heading2">
    <w:name w:val="heading 2"/>
    <w:basedOn w:val="LO-normal"/>
    <w:next w:val="LO-normal"/>
    <w:uiPriority w:val="9"/>
    <w:semiHidden/>
    <w:unhideWhenUsed/>
    <w:qFormat/>
    <w:pPr>
      <w:keepNext/>
      <w:keepLines/>
      <w:numPr>
        <w:ilvl w:val="1"/>
        <w:numId w:val="10"/>
      </w:numPr>
      <w:spacing w:before="360" w:after="120" w:line="240" w:lineRule="auto"/>
      <w:outlineLvl w:val="1"/>
    </w:pPr>
    <w:rPr>
      <w:sz w:val="32"/>
      <w:szCs w:val="32"/>
    </w:rPr>
  </w:style>
  <w:style w:type="paragraph" w:styleId="Heading3">
    <w:name w:val="heading 3"/>
    <w:basedOn w:val="LO-normal"/>
    <w:next w:val="LO-normal"/>
    <w:uiPriority w:val="9"/>
    <w:semiHidden/>
    <w:unhideWhenUsed/>
    <w:qFormat/>
    <w:pPr>
      <w:keepNext/>
      <w:keepLines/>
      <w:numPr>
        <w:ilvl w:val="2"/>
        <w:numId w:val="10"/>
      </w:numPr>
      <w:spacing w:before="320" w:after="80" w:line="240" w:lineRule="auto"/>
      <w:outlineLvl w:val="2"/>
    </w:pPr>
    <w:rPr>
      <w:color w:val="434343"/>
      <w:sz w:val="28"/>
      <w:szCs w:val="28"/>
    </w:rPr>
  </w:style>
  <w:style w:type="paragraph" w:styleId="Heading4">
    <w:name w:val="heading 4"/>
    <w:basedOn w:val="LO-normal"/>
    <w:next w:val="LO-normal"/>
    <w:uiPriority w:val="9"/>
    <w:semiHidden/>
    <w:unhideWhenUsed/>
    <w:qFormat/>
    <w:pPr>
      <w:keepNext/>
      <w:keepLines/>
      <w:numPr>
        <w:ilvl w:val="3"/>
        <w:numId w:val="10"/>
      </w:numPr>
      <w:spacing w:before="280" w:after="80" w:line="240" w:lineRule="auto"/>
      <w:outlineLvl w:val="3"/>
    </w:pPr>
    <w:rPr>
      <w:color w:val="666666"/>
      <w:sz w:val="24"/>
      <w:szCs w:val="24"/>
    </w:rPr>
  </w:style>
  <w:style w:type="paragraph" w:styleId="Heading5">
    <w:name w:val="heading 5"/>
    <w:basedOn w:val="LO-normal"/>
    <w:next w:val="LO-normal"/>
    <w:uiPriority w:val="9"/>
    <w:semiHidden/>
    <w:unhideWhenUsed/>
    <w:qFormat/>
    <w:pPr>
      <w:keepNext/>
      <w:keepLines/>
      <w:numPr>
        <w:ilvl w:val="4"/>
        <w:numId w:val="10"/>
      </w:numPr>
      <w:spacing w:before="240" w:after="80" w:line="240" w:lineRule="auto"/>
      <w:outlineLvl w:val="4"/>
    </w:pPr>
    <w:rPr>
      <w:color w:val="666666"/>
    </w:rPr>
  </w:style>
  <w:style w:type="paragraph" w:styleId="Heading6">
    <w:name w:val="heading 6"/>
    <w:basedOn w:val="LO-normal"/>
    <w:next w:val="LO-normal"/>
    <w:uiPriority w:val="9"/>
    <w:semiHidden/>
    <w:unhideWhenUsed/>
    <w:qFormat/>
    <w:pPr>
      <w:keepNext/>
      <w:keepLines/>
      <w:numPr>
        <w:ilvl w:val="5"/>
        <w:numId w:val="10"/>
      </w:numPr>
      <w:spacing w:before="240" w:after="80" w:line="240" w:lineRule="auto"/>
      <w:outlineLvl w:val="5"/>
    </w:pPr>
    <w:rPr>
      <w:i/>
      <w:color w:val="666666"/>
    </w:rPr>
  </w:style>
  <w:style w:type="paragraph" w:styleId="Heading7">
    <w:name w:val="heading 7"/>
    <w:basedOn w:val="Normal"/>
    <w:next w:val="Normal"/>
    <w:link w:val="Heading7Char"/>
    <w:uiPriority w:val="9"/>
    <w:semiHidden/>
    <w:unhideWhenUsed/>
    <w:qFormat/>
    <w:rsid w:val="009A07D2"/>
    <w:pPr>
      <w:keepNext/>
      <w:keepLines/>
      <w:numPr>
        <w:ilvl w:val="6"/>
        <w:numId w:val="10"/>
      </w:numPr>
      <w:spacing w:before="40"/>
      <w:outlineLvl w:val="6"/>
    </w:pPr>
    <w:rPr>
      <w:rFonts w:cs="Mangal" w:asciiTheme="majorHAnsi" w:hAnsiTheme="majorHAnsi" w:eastAsiaTheme="majorEastAsia"/>
      <w:i/>
      <w:iCs/>
      <w:color w:val="243F60" w:themeColor="accent1" w:themeShade="7F"/>
      <w:szCs w:val="20"/>
    </w:rPr>
  </w:style>
  <w:style w:type="paragraph" w:styleId="Heading8">
    <w:name w:val="heading 8"/>
    <w:basedOn w:val="Normal"/>
    <w:next w:val="Normal"/>
    <w:link w:val="Heading8Char"/>
    <w:uiPriority w:val="9"/>
    <w:semiHidden/>
    <w:unhideWhenUsed/>
    <w:qFormat/>
    <w:rsid w:val="009A07D2"/>
    <w:pPr>
      <w:keepNext/>
      <w:keepLines/>
      <w:numPr>
        <w:ilvl w:val="7"/>
        <w:numId w:val="10"/>
      </w:numPr>
      <w:spacing w:before="40"/>
      <w:outlineLvl w:val="7"/>
    </w:pPr>
    <w:rPr>
      <w:rFonts w:cs="Mangal" w:asciiTheme="majorHAnsi" w:hAnsiTheme="majorHAnsi" w:eastAsiaTheme="majorEastAsia"/>
      <w:color w:val="272727" w:themeColor="text1" w:themeTint="D8"/>
      <w:sz w:val="21"/>
      <w:szCs w:val="19"/>
    </w:rPr>
  </w:style>
  <w:style w:type="paragraph" w:styleId="Heading9">
    <w:name w:val="heading 9"/>
    <w:basedOn w:val="Normal"/>
    <w:next w:val="Normal"/>
    <w:link w:val="Heading9Char"/>
    <w:uiPriority w:val="9"/>
    <w:semiHidden/>
    <w:unhideWhenUsed/>
    <w:qFormat/>
    <w:rsid w:val="009A07D2"/>
    <w:pPr>
      <w:keepNext/>
      <w:keepLines/>
      <w:numPr>
        <w:ilvl w:val="8"/>
        <w:numId w:val="10"/>
      </w:numPr>
      <w:spacing w:before="40"/>
      <w:outlineLvl w:val="8"/>
    </w:pPr>
    <w:rPr>
      <w:rFonts w:cs="Mangal" w:asciiTheme="majorHAnsi" w:hAnsiTheme="majorHAnsi" w:eastAsiaTheme="majorEastAsia"/>
      <w:i/>
      <w:iCs/>
      <w:color w:val="272727" w:themeColor="text1" w:themeTint="D8"/>
      <w:sz w:val="21"/>
      <w:szCs w:val="19"/>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LO-normal"/>
    <w:next w:val="LO-normal"/>
    <w:uiPriority w:val="10"/>
    <w:qFormat/>
    <w:pPr>
      <w:keepNext/>
      <w:keepLines/>
      <w:spacing w:after="60" w:line="240" w:lineRule="auto"/>
    </w:pPr>
    <w:rPr>
      <w:sz w:val="52"/>
      <w:szCs w:val="52"/>
    </w:rPr>
  </w:style>
  <w:style w:type="character" w:styleId="Hyperlink">
    <w:name w:val="Hyperlink"/>
    <w:rPr>
      <w:color w:val="000080"/>
      <w:u w:val="single"/>
    </w:rPr>
  </w:style>
  <w:style w:type="character" w:styleId="FootnoteCharacters" w:customStyle="1">
    <w:name w:val="Footnote Characters"/>
    <w:qFormat/>
  </w:style>
  <w:style w:type="character" w:styleId="FootnoteReference">
    <w:name w:val="footnote reference"/>
    <w:rPr>
      <w:vertAlign w:val="superscript"/>
    </w:rPr>
  </w:style>
  <w:style w:type="character" w:styleId="EndnoteReference">
    <w:name w:val="endnote reference"/>
    <w:rPr>
      <w:vertAlign w:val="superscript"/>
    </w:rPr>
  </w:style>
  <w:style w:type="character" w:styleId="EndnoteCharacters" w:customStyle="1">
    <w:name w:val="Endnote Characters"/>
    <w:qFormat/>
  </w:style>
  <w:style w:type="paragraph" w:styleId="Heading" w:customStyle="1">
    <w:name w:val="Heading"/>
    <w:basedOn w:val="Normal"/>
    <w:next w:val="BodyText"/>
    <w:qFormat/>
    <w:pPr>
      <w:keepNext/>
      <w:spacing w:before="240" w:after="120"/>
    </w:pPr>
    <w:rPr>
      <w:rFonts w:ascii="Liberation Sans" w:hAnsi="Liberation Sans" w:eastAsia="Microsoft YaHei" w:cs="Lucida Sans"/>
      <w:sz w:val="28"/>
      <w:szCs w:val="28"/>
    </w:rPr>
  </w:style>
  <w:style w:type="paragraph" w:styleId="BodyText">
    <w:name w:val="Body Text"/>
    <w:basedOn w:val="Normal"/>
    <w:pPr>
      <w:spacing w:after="14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customStyle="1">
    <w:name w:val="Index"/>
    <w:basedOn w:val="Normal"/>
    <w:qFormat/>
    <w:pPr>
      <w:suppressLineNumbers/>
    </w:pPr>
    <w:rPr>
      <w:rFonts w:cs="Lucida Sans"/>
    </w:rPr>
  </w:style>
  <w:style w:type="paragraph" w:styleId="LO-normal" w:customStyle="1">
    <w:name w:val="LO-normal"/>
    <w:qFormat/>
    <w:rPr>
      <w:lang w:eastAsia="zh-CN" w:bidi="hi-IN"/>
    </w:rPr>
  </w:style>
  <w:style w:type="paragraph" w:styleId="Subtitle">
    <w:name w:val="Subtitle"/>
    <w:basedOn w:val="Normal"/>
    <w:next w:val="Normal"/>
    <w:uiPriority w:val="11"/>
    <w:qFormat/>
    <w:pPr>
      <w:keepNext/>
      <w:keepLines/>
      <w:spacing w:after="320" w:line="240" w:lineRule="auto"/>
    </w:pPr>
    <w:rPr>
      <w:color w:val="666666"/>
      <w:sz w:val="30"/>
      <w:szCs w:val="30"/>
    </w:rPr>
  </w:style>
  <w:style w:type="paragraph" w:styleId="FootnoteText">
    <w:name w:val="footnote text"/>
    <w:basedOn w:val="Normal"/>
  </w:style>
  <w:style w:type="paragraph" w:styleId="Revision">
    <w:name w:val="Revision"/>
    <w:hidden/>
    <w:uiPriority w:val="99"/>
    <w:semiHidden/>
    <w:rsid w:val="009A07D2"/>
    <w:pPr>
      <w:spacing w:line="240" w:lineRule="auto"/>
    </w:pPr>
    <w:rPr>
      <w:rFonts w:cs="Mangal"/>
      <w:szCs w:val="20"/>
      <w:lang w:eastAsia="zh-CN" w:bidi="hi-IN"/>
    </w:rPr>
  </w:style>
  <w:style w:type="paragraph" w:styleId="EPONormal" w:customStyle="1">
    <w:name w:val="EPO Normal"/>
    <w:qFormat/>
    <w:rsid w:val="009A07D2"/>
    <w:pPr>
      <w:spacing w:line="287" w:lineRule="auto"/>
      <w:jc w:val="both"/>
    </w:pPr>
    <w:rPr>
      <w:lang w:eastAsia="zh-CN" w:bidi="hi-IN"/>
    </w:rPr>
  </w:style>
  <w:style w:type="paragraph" w:styleId="EPOSubheading11pt" w:customStyle="1">
    <w:name w:val="EPO Subheading 11pt"/>
    <w:next w:val="EPONormal"/>
    <w:qFormat/>
    <w:rsid w:val="009A07D2"/>
    <w:pPr>
      <w:keepNext/>
      <w:spacing w:before="220" w:after="220" w:line="287" w:lineRule="auto"/>
    </w:pPr>
    <w:rPr>
      <w:b/>
      <w:lang w:eastAsia="zh-CN" w:bidi="hi-IN"/>
    </w:rPr>
  </w:style>
  <w:style w:type="paragraph" w:styleId="EPOFootnote" w:customStyle="1">
    <w:name w:val="EPO Footnote"/>
    <w:qFormat/>
    <w:rsid w:val="009A07D2"/>
    <w:pPr>
      <w:spacing w:line="287" w:lineRule="auto"/>
      <w:jc w:val="both"/>
    </w:pPr>
    <w:rPr>
      <w:sz w:val="16"/>
      <w:lang w:eastAsia="zh-CN" w:bidi="hi-IN"/>
    </w:rPr>
  </w:style>
  <w:style w:type="paragraph" w:styleId="EPOFooter" w:customStyle="1">
    <w:name w:val="EPO Footer"/>
    <w:qFormat/>
    <w:rsid w:val="009A07D2"/>
    <w:pPr>
      <w:spacing w:line="287" w:lineRule="auto"/>
    </w:pPr>
    <w:rPr>
      <w:sz w:val="16"/>
      <w:lang w:eastAsia="zh-CN" w:bidi="hi-IN"/>
    </w:rPr>
  </w:style>
  <w:style w:type="paragraph" w:styleId="EPOHeader" w:customStyle="1">
    <w:name w:val="EPO Header"/>
    <w:qFormat/>
    <w:rsid w:val="009A07D2"/>
    <w:pPr>
      <w:spacing w:line="287" w:lineRule="auto"/>
    </w:pPr>
    <w:rPr>
      <w:sz w:val="16"/>
      <w:lang w:eastAsia="zh-CN" w:bidi="hi-IN"/>
    </w:rPr>
  </w:style>
  <w:style w:type="paragraph" w:styleId="EPOSubheading14pt" w:customStyle="1">
    <w:name w:val="EPO Subheading 14pt"/>
    <w:next w:val="EPONormal"/>
    <w:qFormat/>
    <w:rsid w:val="009A07D2"/>
    <w:pPr>
      <w:keepNext/>
      <w:spacing w:before="220" w:after="220" w:line="287" w:lineRule="auto"/>
    </w:pPr>
    <w:rPr>
      <w:b/>
      <w:sz w:val="28"/>
      <w:lang w:eastAsia="zh-CN" w:bidi="hi-IN"/>
    </w:rPr>
  </w:style>
  <w:style w:type="paragraph" w:styleId="EPOAnnex" w:customStyle="1">
    <w:name w:val="EPO Annex"/>
    <w:next w:val="EPONormal"/>
    <w:qFormat/>
    <w:rsid w:val="009A07D2"/>
    <w:pPr>
      <w:pageBreakBefore/>
      <w:numPr>
        <w:numId w:val="2"/>
      </w:numPr>
      <w:tabs>
        <w:tab w:val="clear" w:pos="567"/>
        <w:tab w:val="left" w:pos="1417"/>
      </w:tabs>
      <w:spacing w:after="220" w:line="287" w:lineRule="auto"/>
      <w:ind w:left="1417" w:hanging="1417"/>
    </w:pPr>
    <w:rPr>
      <w:b/>
      <w:sz w:val="28"/>
      <w:lang w:eastAsia="zh-CN" w:bidi="hi-IN"/>
    </w:rPr>
  </w:style>
  <w:style w:type="character" w:styleId="Heading7Char" w:customStyle="1">
    <w:name w:val="Heading 7 Char"/>
    <w:basedOn w:val="DefaultParagraphFont"/>
    <w:link w:val="Heading7"/>
    <w:uiPriority w:val="9"/>
    <w:semiHidden/>
    <w:rsid w:val="009A07D2"/>
    <w:rPr>
      <w:rFonts w:cs="Mangal" w:asciiTheme="majorHAnsi" w:hAnsiTheme="majorHAnsi" w:eastAsiaTheme="majorEastAsia"/>
      <w:i/>
      <w:iCs/>
      <w:color w:val="243F60" w:themeColor="accent1" w:themeShade="7F"/>
      <w:szCs w:val="20"/>
      <w:lang w:eastAsia="zh-CN" w:bidi="hi-IN"/>
    </w:rPr>
  </w:style>
  <w:style w:type="character" w:styleId="Heading8Char" w:customStyle="1">
    <w:name w:val="Heading 8 Char"/>
    <w:basedOn w:val="DefaultParagraphFont"/>
    <w:link w:val="Heading8"/>
    <w:uiPriority w:val="9"/>
    <w:semiHidden/>
    <w:rsid w:val="009A07D2"/>
    <w:rPr>
      <w:rFonts w:cs="Mangal" w:asciiTheme="majorHAnsi" w:hAnsiTheme="majorHAnsi" w:eastAsiaTheme="majorEastAsia"/>
      <w:color w:val="272727" w:themeColor="text1" w:themeTint="D8"/>
      <w:sz w:val="21"/>
      <w:szCs w:val="19"/>
      <w:lang w:eastAsia="zh-CN" w:bidi="hi-IN"/>
    </w:rPr>
  </w:style>
  <w:style w:type="character" w:styleId="Heading9Char" w:customStyle="1">
    <w:name w:val="Heading 9 Char"/>
    <w:basedOn w:val="DefaultParagraphFont"/>
    <w:link w:val="Heading9"/>
    <w:uiPriority w:val="9"/>
    <w:semiHidden/>
    <w:rsid w:val="009A07D2"/>
    <w:rPr>
      <w:rFonts w:cs="Mangal" w:asciiTheme="majorHAnsi" w:hAnsiTheme="majorHAnsi" w:eastAsiaTheme="majorEastAsia"/>
      <w:i/>
      <w:iCs/>
      <w:color w:val="272727" w:themeColor="text1" w:themeTint="D8"/>
      <w:sz w:val="21"/>
      <w:szCs w:val="19"/>
      <w:lang w:eastAsia="zh-CN" w:bidi="hi-IN"/>
    </w:rPr>
  </w:style>
  <w:style w:type="paragraph" w:styleId="EPOTitle1-25pt" w:customStyle="1">
    <w:name w:val="EPO Title 1 - 25pt"/>
    <w:next w:val="EPONormal"/>
    <w:qFormat/>
    <w:rsid w:val="009A07D2"/>
    <w:pPr>
      <w:spacing w:after="220" w:line="287" w:lineRule="auto"/>
    </w:pPr>
    <w:rPr>
      <w:b/>
      <w:sz w:val="50"/>
      <w:lang w:eastAsia="zh-CN" w:bidi="hi-IN"/>
    </w:rPr>
  </w:style>
  <w:style w:type="paragraph" w:styleId="EPOTitle2-18pt" w:customStyle="1">
    <w:name w:val="EPO Title 2 - 18pt"/>
    <w:next w:val="EPONormal"/>
    <w:qFormat/>
    <w:rsid w:val="009A07D2"/>
    <w:pPr>
      <w:spacing w:after="220" w:line="287" w:lineRule="auto"/>
    </w:pPr>
    <w:rPr>
      <w:b/>
      <w:sz w:val="36"/>
      <w:lang w:eastAsia="zh-CN" w:bidi="hi-IN"/>
    </w:rPr>
  </w:style>
  <w:style w:type="paragraph" w:styleId="EPOHeading1" w:customStyle="1">
    <w:name w:val="EPO Heading 1"/>
    <w:next w:val="EPONormal"/>
    <w:qFormat/>
    <w:rsid w:val="009A07D2"/>
    <w:pPr>
      <w:keepNext/>
      <w:numPr>
        <w:numId w:val="6"/>
      </w:numPr>
      <w:spacing w:before="220" w:after="220" w:line="287" w:lineRule="auto"/>
      <w:outlineLvl w:val="0"/>
    </w:pPr>
    <w:rPr>
      <w:b/>
      <w:sz w:val="28"/>
      <w:lang w:eastAsia="zh-CN" w:bidi="hi-IN"/>
    </w:rPr>
  </w:style>
  <w:style w:type="paragraph" w:styleId="EPOHeading2" w:customStyle="1">
    <w:name w:val="EPO Heading 2"/>
    <w:next w:val="EPONormal"/>
    <w:qFormat/>
    <w:rsid w:val="009A07D2"/>
    <w:pPr>
      <w:keepNext/>
      <w:numPr>
        <w:ilvl w:val="1"/>
        <w:numId w:val="6"/>
      </w:numPr>
      <w:spacing w:before="220" w:after="220" w:line="287" w:lineRule="auto"/>
      <w:outlineLvl w:val="1"/>
    </w:pPr>
    <w:rPr>
      <w:b/>
      <w:sz w:val="24"/>
      <w:lang w:eastAsia="zh-CN" w:bidi="hi-IN"/>
    </w:rPr>
  </w:style>
  <w:style w:type="paragraph" w:styleId="EPOHeading3" w:customStyle="1">
    <w:name w:val="EPO Heading 3"/>
    <w:next w:val="EPONormal"/>
    <w:qFormat/>
    <w:rsid w:val="009A07D2"/>
    <w:pPr>
      <w:keepNext/>
      <w:numPr>
        <w:ilvl w:val="2"/>
        <w:numId w:val="6"/>
      </w:numPr>
      <w:spacing w:before="220" w:after="220" w:line="287" w:lineRule="auto"/>
      <w:outlineLvl w:val="2"/>
    </w:pPr>
    <w:rPr>
      <w:b/>
      <w:lang w:eastAsia="zh-CN" w:bidi="hi-IN"/>
    </w:rPr>
  </w:style>
  <w:style w:type="paragraph" w:styleId="EPOHeading4" w:customStyle="1">
    <w:name w:val="EPO Heading 4"/>
    <w:next w:val="EPONormal"/>
    <w:qFormat/>
    <w:rsid w:val="009A07D2"/>
    <w:pPr>
      <w:keepNext/>
      <w:numPr>
        <w:ilvl w:val="3"/>
        <w:numId w:val="6"/>
      </w:numPr>
      <w:spacing w:before="220" w:after="220" w:line="287" w:lineRule="auto"/>
      <w:outlineLvl w:val="3"/>
    </w:pPr>
    <w:rPr>
      <w:b/>
      <w:lang w:eastAsia="zh-CN" w:bidi="hi-IN"/>
    </w:rPr>
  </w:style>
  <w:style w:type="paragraph" w:styleId="EPOBullet1stlevel" w:customStyle="1">
    <w:name w:val="EPO Bullet 1st level"/>
    <w:qFormat/>
    <w:rsid w:val="009A07D2"/>
    <w:pPr>
      <w:numPr>
        <w:numId w:val="7"/>
      </w:numPr>
      <w:tabs>
        <w:tab w:val="clear" w:pos="1134"/>
      </w:tabs>
      <w:spacing w:line="287" w:lineRule="auto"/>
      <w:ind w:left="397" w:hanging="397"/>
      <w:jc w:val="both"/>
    </w:pPr>
    <w:rPr>
      <w:lang w:eastAsia="zh-CN" w:bidi="hi-IN"/>
    </w:rPr>
  </w:style>
  <w:style w:type="paragraph" w:styleId="EPOBullet2ndlevel" w:customStyle="1">
    <w:name w:val="EPO Bullet 2nd level"/>
    <w:qFormat/>
    <w:rsid w:val="009A07D2"/>
    <w:pPr>
      <w:numPr>
        <w:numId w:val="8"/>
      </w:numPr>
      <w:tabs>
        <w:tab w:val="clear" w:pos="1701"/>
      </w:tabs>
      <w:spacing w:line="287" w:lineRule="auto"/>
      <w:ind w:left="794" w:hanging="397"/>
      <w:jc w:val="both"/>
    </w:pPr>
    <w:rPr>
      <w:lang w:eastAsia="zh-CN" w:bidi="hi-IN"/>
    </w:rPr>
  </w:style>
  <w:style w:type="paragraph" w:styleId="EPOList-numbers" w:customStyle="1">
    <w:name w:val="EPO List - numbers"/>
    <w:qFormat/>
    <w:rsid w:val="009A07D2"/>
    <w:pPr>
      <w:numPr>
        <w:numId w:val="9"/>
      </w:numPr>
      <w:tabs>
        <w:tab w:val="left" w:pos="397"/>
      </w:tabs>
      <w:spacing w:line="287" w:lineRule="auto"/>
      <w:jc w:val="both"/>
    </w:pPr>
    <w:rPr>
      <w:lang w:eastAsia="zh-CN" w:bidi="hi-IN"/>
    </w:rPr>
  </w:style>
  <w:style w:type="paragraph" w:styleId="EPOList-letters" w:customStyle="1">
    <w:name w:val="EPO List - letters"/>
    <w:qFormat/>
    <w:rsid w:val="009A07D2"/>
    <w:pPr>
      <w:numPr>
        <w:numId w:val="10"/>
      </w:numPr>
      <w:tabs>
        <w:tab w:val="left" w:pos="397"/>
      </w:tabs>
      <w:spacing w:line="287" w:lineRule="auto"/>
      <w:jc w:val="both"/>
    </w:pPr>
    <w:rPr>
      <w:lang w:eastAsia="zh-CN" w:bidi="hi-IN"/>
    </w:rPr>
  </w:style>
  <w:style w:type="character" w:styleId="CommentReference">
    <w:name w:val="annotation reference"/>
    <w:basedOn w:val="DefaultParagraphFont"/>
    <w:uiPriority w:val="99"/>
    <w:semiHidden/>
    <w:unhideWhenUsed/>
    <w:rsid w:val="009F08B1"/>
    <w:rPr>
      <w:sz w:val="16"/>
      <w:szCs w:val="16"/>
    </w:rPr>
  </w:style>
  <w:style w:type="paragraph" w:styleId="CommentText">
    <w:name w:val="annotation text"/>
    <w:basedOn w:val="Normal"/>
    <w:link w:val="CommentTextChar"/>
    <w:uiPriority w:val="99"/>
    <w:unhideWhenUsed/>
    <w:rsid w:val="009F08B1"/>
    <w:pPr>
      <w:spacing w:line="240" w:lineRule="auto"/>
    </w:pPr>
    <w:rPr>
      <w:rFonts w:cs="Mangal"/>
      <w:sz w:val="20"/>
      <w:szCs w:val="18"/>
    </w:rPr>
  </w:style>
  <w:style w:type="character" w:styleId="CommentTextChar" w:customStyle="1">
    <w:name w:val="Comment Text Char"/>
    <w:basedOn w:val="DefaultParagraphFont"/>
    <w:link w:val="CommentText"/>
    <w:uiPriority w:val="99"/>
    <w:rsid w:val="009F08B1"/>
    <w:rPr>
      <w:rFonts w:cs="Mangal"/>
      <w:sz w:val="20"/>
      <w:szCs w:val="18"/>
      <w:lang w:eastAsia="zh-CN" w:bidi="hi-IN"/>
    </w:rPr>
  </w:style>
  <w:style w:type="paragraph" w:styleId="CommentSubject">
    <w:name w:val="annotation subject"/>
    <w:basedOn w:val="CommentText"/>
    <w:next w:val="CommentText"/>
    <w:link w:val="CommentSubjectChar"/>
    <w:uiPriority w:val="99"/>
    <w:semiHidden/>
    <w:unhideWhenUsed/>
    <w:rsid w:val="009F08B1"/>
    <w:rPr>
      <w:b/>
      <w:bCs/>
    </w:rPr>
  </w:style>
  <w:style w:type="character" w:styleId="CommentSubjectChar" w:customStyle="1">
    <w:name w:val="Comment Subject Char"/>
    <w:basedOn w:val="CommentTextChar"/>
    <w:link w:val="CommentSubject"/>
    <w:uiPriority w:val="99"/>
    <w:semiHidden/>
    <w:rsid w:val="009F08B1"/>
    <w:rPr>
      <w:rFonts w:cs="Mangal"/>
      <w:b/>
      <w:bCs/>
      <w:sz w:val="20"/>
      <w:szCs w:val="18"/>
      <w:lang w:eastAsia="zh-CN" w:bidi="hi-IN"/>
    </w:rPr>
  </w:style>
  <w:style w:type="paragraph" w:styleId="BalloonText">
    <w:name w:val="Balloon Text"/>
    <w:basedOn w:val="Normal"/>
    <w:link w:val="BalloonTextChar"/>
    <w:uiPriority w:val="99"/>
    <w:semiHidden/>
    <w:unhideWhenUsed/>
    <w:rsid w:val="00BD16B6"/>
    <w:pPr>
      <w:spacing w:line="240" w:lineRule="auto"/>
    </w:pPr>
    <w:rPr>
      <w:rFonts w:ascii="Segoe UI" w:hAnsi="Segoe UI" w:cs="Mangal"/>
      <w:sz w:val="18"/>
      <w:szCs w:val="16"/>
    </w:rPr>
  </w:style>
  <w:style w:type="character" w:styleId="BalloonTextChar" w:customStyle="1">
    <w:name w:val="Balloon Text Char"/>
    <w:basedOn w:val="DefaultParagraphFont"/>
    <w:link w:val="BalloonText"/>
    <w:uiPriority w:val="99"/>
    <w:semiHidden/>
    <w:rsid w:val="00BD16B6"/>
    <w:rPr>
      <w:rFonts w:ascii="Segoe UI" w:hAnsi="Segoe UI" w:cs="Mangal"/>
      <w:sz w:val="18"/>
      <w:szCs w:val="16"/>
      <w:lang w:eastAsia="zh-CN" w:bidi="hi-IN"/>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hyperlink" Target="https://www.epo.org/de/news-events/european-inventor-award/streaming?mtm_campaign=EIA2024&amp;mtm_keyword=pressrelease&amp;mtm_medium=press" TargetMode="Externa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numbering" Target="numbering.xml" Id="rId7" /><Relationship Type="http://schemas.openxmlformats.org/officeDocument/2006/relationships/hyperlink" Target="https://www.eea.europa.eu/publications/european-climate-risk-assessment" TargetMode="External" Id="rId12" /><Relationship Type="http://schemas.openxmlformats.org/officeDocument/2006/relationships/hyperlink" Target="https://www.epo.org/?mtm_campaign=EIA2023&amp;mtm_keyword=EIA-pressrelease&amp;mtm_medium=press&amp;mtm_group=press" TargetMode="External" Id="rId17" /><Relationship Type="http://schemas.openxmlformats.org/officeDocument/2006/relationships/customXml" Target="../customXml/item2.xml" Id="rId2" /><Relationship Type="http://schemas.openxmlformats.org/officeDocument/2006/relationships/hyperlink" Target="https://www.epo.org/de/news-events/european-inventor-award?mtm_campaign=EIA2024&amp;mtm_keyword=pressrelease&amp;mtm_medium=press" TargetMode="External" Id="rId16"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hyperlink" Target="https://www.epo.org/de/news-events/european-inventor-award/popular-prize?mtm_campaign=EIA2024&amp;mtm_keyword=pressrelease&amp;mtm_medium=press" TargetMode="External" Id="rId11" /><Relationship Type="http://schemas.openxmlformats.org/officeDocument/2006/relationships/customXml" Target="../customXml/item5.xml" Id="rId5" /><Relationship Type="http://schemas.openxmlformats.org/officeDocument/2006/relationships/hyperlink" Target="mailto:press@epo.org" TargetMode="External" Id="rId15" /><Relationship Type="http://schemas.openxmlformats.org/officeDocument/2006/relationships/webSettings" Target="webSetting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yperlink" Target="https://www.epo.org/de/news-events/european-inventor-award/meet-the-finalists/tonio-sant-daniel-buhagiar-and-team?mtm_campaign=EIA2024&amp;mtm_keyword=pressrelease&amp;mtm_medium=press" TargetMode="External" Id="rId14" /><Relationship Type="http://schemas.openxmlformats.org/officeDocument/2006/relationships/header" Target="header.xml" Id="R047d8e75b3b84224" /><Relationship Type="http://schemas.openxmlformats.org/officeDocument/2006/relationships/footer" Target="footer.xml" Id="R846645a60b6549fe"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xml.rels>&#65279;<?xml version="1.0" encoding="utf-8"?><Relationships xmlns="http://schemas.openxmlformats.org/package/2006/relationships"><Relationship Type="http://schemas.openxmlformats.org/officeDocument/2006/relationships/image" Target="/media/image.png" Id="R5dfa808677014ade" /><Relationship Type="http://schemas.openxmlformats.org/officeDocument/2006/relationships/image" Target="/media/image2.png" Id="Rd1c722a8b67a421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G9QKj5HJ0nv6os5lZaQbDRCuVQ==">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</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TAS0-850928080-101629</_dlc_DocId>
    <_dlc_DocIdUrl xmlns="f2e99cb4-f4f9-415e-b3d9-1292be195fdc">
      <Url>https://byblos2019.internal.epo.org/sites/TAS/_layouts/15/DocIdRedir.aspx?ID=TAS0-850928080-101629</Url>
      <Description>TAS0-850928080-101629</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5.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6a2087d8a798ac184d75514626af6db0">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e71387e9d4f639189bd694c462f23f5a"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9fe85f9d-14b9-4f9c-9861-ae262a00135d" ContentTypeId="0x0101004B4BAD3DDDE0F84A8E56A09DD9B2FAD7" PreviousValue="false"/>
</file>

<file path=customXml/itemProps1.xml><?xml version="1.0" encoding="utf-8"?>
<ds:datastoreItem xmlns:ds="http://schemas.openxmlformats.org/officeDocument/2006/customXml" ds:itemID="{D952F52A-48AB-47B3-BA4E-93518FA37A47}">
  <ds:schemaRefs>
    <ds:schemaRef ds:uri="http://schemas.microsoft.com/sharepoint/event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D854EE6A-42BE-461C-B852-5B3F73FBDEF5}">
  <ds:schemaRefs>
    <ds:schemaRef ds:uri="http://schemas.microsoft.com/sharepoint/v3/contenttype/forms"/>
  </ds:schemaRefs>
</ds:datastoreItem>
</file>

<file path=customXml/itemProps4.xml><?xml version="1.0" encoding="utf-8"?>
<ds:datastoreItem xmlns:ds="http://schemas.openxmlformats.org/officeDocument/2006/customXml" ds:itemID="{D934F824-B072-42E9-B3AF-FE918B316BC5}">
  <ds:schemaRefs>
    <ds:schemaRef ds:uri="http://purl.org/dc/elements/1.1/"/>
    <ds:schemaRef ds:uri="http://schemas.microsoft.com/office/2006/metadata/properties"/>
    <ds:schemaRef ds:uri="f2e99cb4-f4f9-415e-b3d9-1292be195fdc"/>
    <ds:schemaRef ds:uri="http://schemas.openxmlformats.org/package/2006/metadata/core-properties"/>
    <ds:schemaRef ds:uri="c19017b9-b632-4fd7-b272-8e1706ce9985"/>
    <ds:schemaRef ds:uri="http://purl.org/dc/terms/"/>
    <ds:schemaRef ds:uri="http://schemas.microsoft.com/office/2006/documentManagement/types"/>
    <ds:schemaRef ds:uri="http://schemas.microsoft.com/office/infopath/2007/PartnerControls"/>
    <ds:schemaRef ds:uri="http://schemas.microsoft.com/sharepoint/v3/fields"/>
    <ds:schemaRef ds:uri="http://www.w3.org/XML/1998/namespace"/>
    <ds:schemaRef ds:uri="http://purl.org/dc/dcmitype/"/>
  </ds:schemaRefs>
</ds:datastoreItem>
</file>

<file path=customXml/itemProps5.xml><?xml version="1.0" encoding="utf-8"?>
<ds:datastoreItem xmlns:ds="http://schemas.openxmlformats.org/officeDocument/2006/customXml" ds:itemID="{C6046ADE-BC8B-4D6C-994E-EB1F91D57B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FB4AB03-524F-420D-B5BC-096B199D426B}">
  <ds:schemaRefs>
    <ds:schemaRef ds:uri="Microsoft.SharePoint.Taxonomy.ContentTypeSyn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Miguel Angel Ruiz Ferrer</dc:creator>
  <lastModifiedBy>Lucia Sixto Barcia</lastModifiedBy>
  <revision>4</revision>
  <dcterms:created xsi:type="dcterms:W3CDTF">2024-05-08T13:41:00.0000000Z</dcterms:created>
  <dcterms:modified xsi:type="dcterms:W3CDTF">2024-05-15T23:04:23.6093810Z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0x0101004B4BAD3DDDE0F84A8E56A09DD9B2FAD700589673E0CE02EC4FA69E3DADD58EC854</vt:lpwstr>
  </property>
  <property fmtid="{D5CDD505-2E9C-101B-9397-08002B2CF9AE}" pid="3" name="_dlc_DocIdItemGuid">
    <vt:lpwstr>6f731a04-0c95-4c63-8a21-e352ffb0f5e9</vt:lpwstr>
  </property>
  <property fmtid="{D5CDD505-2E9C-101B-9397-08002B2CF9AE}" pid="4" name="EpoCoverage">
    <vt:lpwstr/>
  </property>
  <property fmtid="{D5CDD505-2E9C-101B-9397-08002B2CF9AE}" pid="5" name="EpoCategory">
    <vt:lpwstr/>
  </property>
  <property fmtid="{D5CDD505-2E9C-101B-9397-08002B2CF9AE}" pid="6" name="EpoLanguage">
    <vt:lpwstr/>
  </property>
  <property fmtid="{D5CDD505-2E9C-101B-9397-08002B2CF9AE}" pid="7" name="EpoPublisher">
    <vt:lpwstr/>
  </property>
</Properties>
</file>