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37664" w:rsidP="26FF0412" w:rsidRDefault="144BE490" w14:paraId="6CCF80B3" w14:textId="77777777">
      <w:pPr>
        <w:spacing w:before="240" w:after="240" w:line="360" w:lineRule="auto"/>
        <w:jc w:val="right"/>
        <w:rPr>
          <w:b/>
          <w:bCs/>
          <w:sz w:val="28"/>
          <w:szCs w:val="28"/>
        </w:rPr>
      </w:pPr>
      <w:r>
        <w:rPr>
          <w:b/>
          <w:sz w:val="28"/>
        </w:rPr>
        <w:t xml:space="preserve">PRESSEMITTEILUNG </w:t>
      </w:r>
    </w:p>
    <w:p w:rsidR="00937664" w:rsidP="26FF0412" w:rsidRDefault="144BE490" w14:paraId="6CCF80B4" w14:textId="77777777">
      <w:pPr>
        <w:jc w:val="center"/>
        <w:rPr>
          <w:b/>
          <w:bCs/>
          <w:sz w:val="28"/>
          <w:szCs w:val="28"/>
        </w:rPr>
      </w:pPr>
      <w:r>
        <w:rPr>
          <w:b/>
          <w:sz w:val="28"/>
        </w:rPr>
        <w:t xml:space="preserve">Schnittstelle zwischen Gehirn und Maschine revolutioniert die Mobilität im Rollstuhl: </w:t>
      </w:r>
      <w:proofErr w:type="gramStart"/>
      <w:r>
        <w:rPr>
          <w:b/>
          <w:sz w:val="28"/>
        </w:rPr>
        <w:t>Tunesisches</w:t>
      </w:r>
      <w:proofErr w:type="gramEnd"/>
      <w:r>
        <w:rPr>
          <w:b/>
          <w:sz w:val="28"/>
        </w:rPr>
        <w:t xml:space="preserve"> Team als Finalistinnen des Young Inventors Prize 2024 ausgewählt</w:t>
      </w:r>
    </w:p>
    <w:p w:rsidR="00937664" w:rsidP="26FF0412" w:rsidRDefault="00937664" w14:paraId="6CCF80B5" w14:textId="77777777">
      <w:pPr>
        <w:jc w:val="both"/>
        <w:rPr>
          <w:b/>
          <w:bCs/>
          <w:lang w:val="en-GB"/>
        </w:rPr>
      </w:pPr>
    </w:p>
    <w:p w:rsidR="00937664" w:rsidP="26FF0412" w:rsidRDefault="144BE490" w14:paraId="6CCF80B6" w14:textId="0796F071">
      <w:pPr>
        <w:numPr>
          <w:ilvl w:val="0"/>
          <w:numId w:val="1"/>
        </w:numPr>
        <w:ind w:left="714" w:hanging="357"/>
        <w:jc w:val="both"/>
        <w:rPr>
          <w:b w:val="1"/>
          <w:bCs w:val="1"/>
        </w:rPr>
      </w:pPr>
      <w:r w:rsidRPr="6745AFA3" w:rsidR="144BE490">
        <w:rPr>
          <w:b w:val="1"/>
          <w:bCs w:val="1"/>
        </w:rPr>
        <w:t xml:space="preserve">Junge tunesische Erfinderinnen haben das </w:t>
      </w:r>
      <w:r w:rsidRPr="6745AFA3" w:rsidR="1C7D07B4">
        <w:rPr>
          <w:b w:val="1"/>
          <w:bCs w:val="1"/>
        </w:rPr>
        <w:t xml:space="preserve">System </w:t>
      </w:r>
      <w:r w:rsidRPr="6745AFA3" w:rsidR="144BE490">
        <w:rPr>
          <w:b w:val="1"/>
          <w:bCs w:val="1"/>
        </w:rPr>
        <w:t>MOOVOBRAIN entwickelt</w:t>
      </w:r>
      <w:r w:rsidRPr="6745AFA3" w:rsidR="144BE490">
        <w:rPr>
          <w:b w:val="1"/>
          <w:bCs w:val="1"/>
        </w:rPr>
        <w:t>, das Rollstühle über Signale des Gehirns, Sprachbefehle, das Mienenspiel oder per Touchpad steuern kann.</w:t>
      </w:r>
    </w:p>
    <w:p w:rsidR="00937664" w:rsidP="26FF0412" w:rsidRDefault="144BE490" w14:paraId="6CCF80B7" w14:textId="77777777">
      <w:pPr>
        <w:numPr>
          <w:ilvl w:val="0"/>
          <w:numId w:val="1"/>
        </w:numPr>
        <w:ind w:left="714" w:hanging="357"/>
        <w:jc w:val="both"/>
        <w:rPr>
          <w:b/>
          <w:bCs/>
        </w:rPr>
      </w:pPr>
      <w:r>
        <w:rPr>
          <w:b/>
        </w:rPr>
        <w:t>Diese Technologie könnte Millionen Menschen weltweit, die an den Rollstuhl gefesselt sind, ein Stück Unabhängigkeit zurückgeben.</w:t>
      </w:r>
    </w:p>
    <w:p w:rsidR="00937664" w:rsidP="26FF0412" w:rsidRDefault="144BE490" w14:paraId="6CCF80B8" w14:textId="1A3AD34A">
      <w:pPr>
        <w:numPr>
          <w:ilvl w:val="0"/>
          <w:numId w:val="1"/>
        </w:numPr>
        <w:ind w:left="714" w:hanging="357"/>
        <w:jc w:val="both"/>
        <w:rPr>
          <w:b w:val="1"/>
          <w:bCs w:val="1"/>
        </w:rPr>
      </w:pPr>
      <w:r w:rsidRPr="22E37A4D" w:rsidR="144BE490">
        <w:rPr>
          <w:b w:val="1"/>
          <w:bCs w:val="1"/>
        </w:rPr>
        <w:t>Die Tunesierinnen treten am 9. Juli im Young Inventors Prize gegen ein</w:t>
      </w:r>
      <w:r w:rsidRPr="22E37A4D" w:rsidR="739F4C55">
        <w:rPr>
          <w:b w:val="1"/>
          <w:bCs w:val="1"/>
        </w:rPr>
        <w:t xml:space="preserve"> niederländisches</w:t>
      </w:r>
      <w:r w:rsidRPr="22E37A4D" w:rsidR="144BE490">
        <w:rPr>
          <w:b w:val="1"/>
          <w:bCs w:val="1"/>
        </w:rPr>
        <w:t xml:space="preserve"> und ein</w:t>
      </w:r>
      <w:r w:rsidRPr="22E37A4D" w:rsidR="4CD51D66">
        <w:rPr>
          <w:b w:val="1"/>
          <w:bCs w:val="1"/>
        </w:rPr>
        <w:t xml:space="preserve"> ukrainisches Team</w:t>
      </w:r>
      <w:r w:rsidRPr="22E37A4D" w:rsidR="144BE490">
        <w:rPr>
          <w:b w:val="1"/>
          <w:bCs w:val="1"/>
        </w:rPr>
        <w:t xml:space="preserve"> an.</w:t>
      </w:r>
    </w:p>
    <w:p w:rsidR="00937664" w:rsidP="26FF0412" w:rsidRDefault="00937664" w14:paraId="6CCF80BA" w14:textId="77777777">
      <w:pPr>
        <w:jc w:val="both"/>
        <w:rPr>
          <w:b/>
          <w:bCs/>
          <w:lang w:val="en-GB"/>
        </w:rPr>
      </w:pPr>
    </w:p>
    <w:p w:rsidR="144BE490" w:rsidP="26FF0412" w:rsidRDefault="768E1E1B" w14:paraId="6CCF80BB" w14:textId="7BE7F0ED">
      <w:pPr>
        <w:spacing w:line="240" w:lineRule="auto"/>
        <w:jc w:val="both"/>
      </w:pPr>
      <w:r w:rsidRPr="6745AFA3" w:rsidR="768E1E1B">
        <w:rPr>
          <w:b w:val="1"/>
          <w:bCs w:val="1"/>
        </w:rPr>
        <w:t xml:space="preserve">München, 4. Juni 2024 </w:t>
      </w:r>
      <w:r w:rsidR="768E1E1B">
        <w:rPr/>
        <w:t xml:space="preserve">– Laut der </w:t>
      </w:r>
      <w:hyperlink r:id="R309a7b790b5f4a44">
        <w:r w:rsidRPr="6745AFA3" w:rsidR="768E1E1B">
          <w:rPr>
            <w:rStyle w:val="Hyperlink"/>
          </w:rPr>
          <w:t>Weltgesundheitsorganisation (WHO)</w:t>
        </w:r>
      </w:hyperlink>
      <w:r w:rsidR="768E1E1B">
        <w:rPr/>
        <w:t xml:space="preserve"> sind mindestens 80 Millionen Menschen weltweit (das entspricht 1 % der Weltbevölkerung) im Laufe ihres Lebens auf einen Rollstuhl angewiesen. Viele Betroffene besitzen nicht mehr die volle Kontrolle über ihren Oberkörper und benötigen daher Pflegekräfte, um mobil zu sein. Ein Team tunesischer Ingenieurinnen im Alter zwischen 2</w:t>
      </w:r>
      <w:r w:rsidR="17CDB905">
        <w:rPr/>
        <w:t>7</w:t>
      </w:r>
      <w:r w:rsidR="768E1E1B">
        <w:rPr/>
        <w:t xml:space="preserve"> und 28 Jahren möchte dies ändern. </w:t>
      </w:r>
      <w:r w:rsidRPr="6745AFA3" w:rsidR="768E1E1B">
        <w:rPr>
          <w:b w:val="1"/>
          <w:bCs w:val="1"/>
        </w:rPr>
        <w:t>Khaoula</w:t>
      </w:r>
      <w:r w:rsidRPr="6745AFA3" w:rsidR="768E1E1B">
        <w:rPr>
          <w:b w:val="1"/>
          <w:bCs w:val="1"/>
        </w:rPr>
        <w:t xml:space="preserve"> Ben Ahmed (28), </w:t>
      </w:r>
      <w:r w:rsidRPr="6745AFA3" w:rsidR="768E1E1B">
        <w:rPr>
          <w:b w:val="1"/>
          <w:bCs w:val="1"/>
        </w:rPr>
        <w:t>Ghofrane</w:t>
      </w:r>
      <w:r w:rsidRPr="6745AFA3" w:rsidR="768E1E1B">
        <w:rPr>
          <w:b w:val="1"/>
          <w:bCs w:val="1"/>
        </w:rPr>
        <w:t xml:space="preserve"> Ayari (27), </w:t>
      </w:r>
      <w:r w:rsidRPr="6745AFA3" w:rsidR="768E1E1B">
        <w:rPr>
          <w:b w:val="1"/>
          <w:bCs w:val="1"/>
        </w:rPr>
        <w:t>Souleima</w:t>
      </w:r>
      <w:r w:rsidRPr="6745AFA3" w:rsidR="768E1E1B">
        <w:rPr>
          <w:b w:val="1"/>
          <w:bCs w:val="1"/>
        </w:rPr>
        <w:t xml:space="preserve"> Ben </w:t>
      </w:r>
      <w:r w:rsidRPr="6745AFA3" w:rsidR="768E1E1B">
        <w:rPr>
          <w:b w:val="1"/>
          <w:bCs w:val="1"/>
        </w:rPr>
        <w:t>Temime</w:t>
      </w:r>
      <w:r w:rsidRPr="6745AFA3" w:rsidR="768E1E1B">
        <w:rPr>
          <w:b w:val="1"/>
          <w:bCs w:val="1"/>
        </w:rPr>
        <w:t xml:space="preserve"> (28) und </w:t>
      </w:r>
      <w:r w:rsidRPr="6745AFA3" w:rsidR="768E1E1B">
        <w:rPr>
          <w:b w:val="1"/>
          <w:bCs w:val="1"/>
        </w:rPr>
        <w:t>Sirine</w:t>
      </w:r>
      <w:r w:rsidRPr="6745AFA3" w:rsidR="768E1E1B">
        <w:rPr>
          <w:b w:val="1"/>
          <w:bCs w:val="1"/>
        </w:rPr>
        <w:t xml:space="preserve"> Ayari (28)</w:t>
      </w:r>
      <w:r w:rsidR="768E1E1B">
        <w:rPr/>
        <w:t xml:space="preserve"> haben das intelligente Rollstuhl-Steuersystem MOOVOBRAIN entwickelt, eine Technologie, die </w:t>
      </w:r>
      <w:r w:rsidRPr="6745AFA3" w:rsidR="768E1E1B">
        <w:rPr>
          <w:b w:val="1"/>
          <w:bCs w:val="1"/>
        </w:rPr>
        <w:t>eine Steuerung des Rollstuhls über Sprache, Signale des Gehirns, den Gesichtsausdruck oder ein Touchpad ermöglicht.</w:t>
      </w:r>
      <w:r w:rsidR="768E1E1B">
        <w:rPr/>
        <w:t xml:space="preserve"> Diese Innovation gibt Personen, denen konventionelle Unterstützungstechnologien nicht helfen können, einen gewissen Grad von Autonomie zurück. Das MOOVOBRAIN-System des Teams wurde</w:t>
      </w:r>
      <w:r w:rsidRPr="6745AFA3" w:rsidR="768E1E1B">
        <w:rPr>
          <w:b w:val="1"/>
          <w:bCs w:val="1"/>
        </w:rPr>
        <w:t xml:space="preserve"> für den Young Inventors Prize im Rahmen des Europäischen Erfinderpreises 2024 nominiert,</w:t>
      </w:r>
      <w:r w:rsidR="768E1E1B">
        <w:rPr/>
        <w:t xml:space="preserve"> da es zwei der UN-Ziele für nachhaltige Entwicklung (SDGs) unterstützt. Die jungen Erfinderinnen wurden aus über 550 Bewerberinnen und Bewerbern der diesjährigen Auflage ausgewählt.</w:t>
      </w:r>
    </w:p>
    <w:p w:rsidR="00937664" w:rsidP="26FF0412" w:rsidRDefault="7FD86781" w14:paraId="6CCF80BC" w14:textId="5C9DA36D">
      <w:pPr>
        <w:spacing w:before="240" w:after="240" w:line="240" w:lineRule="auto"/>
        <w:jc w:val="both"/>
        <w:rPr>
          <w:b w:val="1"/>
          <w:bCs w:val="1"/>
          <w:color w:val="BE0F05"/>
        </w:rPr>
      </w:pPr>
      <w:r w:rsidRPr="6745AFA3" w:rsidR="7FD86781">
        <w:rPr>
          <w:b w:val="1"/>
          <w:bCs w:val="1"/>
          <w:color w:val="BE0F05"/>
        </w:rPr>
        <w:t xml:space="preserve">Diversität und Inklusion </w:t>
      </w:r>
      <w:r w:rsidRPr="6745AFA3" w:rsidR="7FD86781">
        <w:rPr>
          <w:b w:val="1"/>
          <w:bCs w:val="1"/>
          <w:color w:val="BE0F05"/>
        </w:rPr>
        <w:t>großgeschrieben</w:t>
      </w:r>
    </w:p>
    <w:p w:rsidR="00937664" w:rsidP="6745AFA3" w:rsidRDefault="768E1E1B" w14:paraId="6CCF80BD" w14:textId="43AD4F88">
      <w:pPr>
        <w:pStyle w:val="Normal"/>
        <w:suppressLineNumbers w:val="0"/>
        <w:bidi w:val="0"/>
        <w:spacing w:before="240" w:beforeAutospacing="off" w:after="240" w:afterAutospacing="off" w:line="240" w:lineRule="auto"/>
        <w:ind w:left="0" w:right="0"/>
        <w:jc w:val="both"/>
      </w:pPr>
      <w:r w:rsidR="768E1E1B">
        <w:rPr/>
        <w:t xml:space="preserve">Das System MOOVOBRAIN arbeitet mit einem neuen Verfahren für die Rollstuhlsteuerung, das für die Bedürfnisse des jeweiligen Benutzers maßgeschneidert ist. Es verfügt über </w:t>
      </w:r>
      <w:r w:rsidRPr="6745AFA3" w:rsidR="768E1E1B">
        <w:rPr>
          <w:b w:val="1"/>
          <w:bCs w:val="1"/>
        </w:rPr>
        <w:t>vier intuitive Antriebsarten:</w:t>
      </w:r>
      <w:r w:rsidR="768E1E1B">
        <w:rPr/>
        <w:t xml:space="preserve"> Der Voice </w:t>
      </w:r>
      <w:r w:rsidR="768E1E1B">
        <w:rPr/>
        <w:t>Driving</w:t>
      </w:r>
      <w:r w:rsidR="768E1E1B">
        <w:rPr/>
        <w:t xml:space="preserve"> Mode wird per Sprachbefehl bedient, der Brain </w:t>
      </w:r>
      <w:r w:rsidR="768E1E1B">
        <w:rPr/>
        <w:t>Driving</w:t>
      </w:r>
      <w:r w:rsidR="768E1E1B">
        <w:rPr/>
        <w:t xml:space="preserve"> Mode über ein spezielles Headset, das Signale des Gehirns erkennen kann, der </w:t>
      </w:r>
      <w:r w:rsidR="768E1E1B">
        <w:rPr/>
        <w:t>Grimace</w:t>
      </w:r>
      <w:r w:rsidR="768E1E1B">
        <w:rPr/>
        <w:t xml:space="preserve"> </w:t>
      </w:r>
      <w:r w:rsidR="768E1E1B">
        <w:rPr/>
        <w:t>Driving</w:t>
      </w:r>
      <w:r w:rsidR="768E1E1B">
        <w:rPr/>
        <w:t xml:space="preserve"> Mode über das Mienenspiel und der Manual </w:t>
      </w:r>
      <w:r w:rsidR="768E1E1B">
        <w:rPr/>
        <w:t>Driving</w:t>
      </w:r>
      <w:r w:rsidR="768E1E1B">
        <w:rPr/>
        <w:t xml:space="preserve"> Mode über ein Touchpad oder eine Smartphone-App-Schnittstelle für Personen, die noch ihre Hände bewegen können. Das System </w:t>
      </w:r>
      <w:r w:rsidR="300FB8D1">
        <w:rPr/>
        <w:t xml:space="preserve">wird von GEWINNER, dem </w:t>
      </w:r>
      <w:r w:rsidR="768E1E1B">
        <w:rPr/>
        <w:t xml:space="preserve">Startup </w:t>
      </w:r>
      <w:r w:rsidR="40AF2F11">
        <w:rPr/>
        <w:t>der Erfinderinnen</w:t>
      </w:r>
      <w:r w:rsidR="74970244">
        <w:rPr/>
        <w:t>, hergestellt</w:t>
      </w:r>
      <w:r w:rsidR="768E1E1B">
        <w:rPr/>
        <w:t xml:space="preserve">. Es soll weltweit </w:t>
      </w:r>
      <w:r w:rsidRPr="6745AFA3" w:rsidR="768E1E1B">
        <w:rPr>
          <w:b w:val="1"/>
          <w:bCs w:val="1"/>
        </w:rPr>
        <w:t>die Lebensqualität von Menschen mit Mobilitätseinschränkungen verbessern</w:t>
      </w:r>
      <w:r w:rsidR="768E1E1B">
        <w:rPr/>
        <w:t xml:space="preserve"> und ihre Barrierefreiheit und Unabhängigkeit sicherstellen. Die vier Antriebsarten sind auf unterschiedliche Bedürfnisse, Behinderungen und körperliche Konstitutionen ausgelegt. Das System ist eine Vierfachlösung für Menschen, die sprechen </w:t>
      </w:r>
      <w:r w:rsidR="768E1E1B">
        <w:rPr/>
        <w:t>können</w:t>
      </w:r>
      <w:r w:rsidR="60326F83">
        <w:rPr/>
        <w:t>,</w:t>
      </w:r>
      <w:r w:rsidR="768E1E1B">
        <w:rPr/>
        <w:t xml:space="preserve"> ebenso wie für Stumme, </w:t>
      </w:r>
      <w:r w:rsidR="2C8E2D11">
        <w:rPr/>
        <w:t>das</w:t>
      </w:r>
      <w:r w:rsidR="768E1E1B">
        <w:rPr/>
        <w:t xml:space="preserve"> dadurch in mehrfacher Hinsicht Unterstützung leisten kann. </w:t>
      </w:r>
      <w:r w:rsidR="6F8B2F74">
        <w:rPr/>
        <w:t>Es</w:t>
      </w:r>
      <w:r w:rsidR="768E1E1B">
        <w:rPr/>
        <w:t xml:space="preserve"> kann sogar in herkömmlichen Rollstühlen nachgerüstet werden. </w:t>
      </w:r>
    </w:p>
    <w:p w:rsidR="00937664" w:rsidP="6745AFA3" w:rsidRDefault="1DCE8D40" w14:paraId="6CCF80BE" w14:textId="0264686E">
      <w:pPr>
        <w:pStyle w:val="Normal"/>
        <w:spacing w:before="240" w:after="240" w:line="240" w:lineRule="auto"/>
        <w:jc w:val="both"/>
      </w:pPr>
      <w:r w:rsidR="0253FB92">
        <w:rPr/>
        <w:t>Für Assistenten und Pflegekräfte verfügt d</w:t>
      </w:r>
      <w:r w:rsidR="1DCE8D40">
        <w:rPr/>
        <w:t xml:space="preserve">as MOOVOBRAIN-System außerdem über eine spezielle </w:t>
      </w:r>
      <w:r w:rsidR="1DCE8D40">
        <w:rPr/>
        <w:t>Schnittstelle mit</w:t>
      </w:r>
      <w:r w:rsidR="1DCE8D40">
        <w:rPr/>
        <w:t xml:space="preserve"> Funktionen wie Rollstuhl-Tracking und Überprüfung des Benutzer-Handyakkus in Echtzeit. Dieser umfassende Ansatz soll bei einem breiten Spektrum </w:t>
      </w:r>
      <w:r w:rsidR="1DCE8D40">
        <w:rPr/>
        <w:t>an Behinderungen unterstützen und legt besonderen Wert auf Unabhängigkeit, Sicherheit und Konnektivität der betroffenen Personen.</w:t>
      </w:r>
    </w:p>
    <w:p w:rsidR="00937664" w:rsidP="26FF0412" w:rsidRDefault="144BE490" w14:paraId="6CCF80BF" w14:textId="4A6A3B10">
      <w:pPr>
        <w:spacing w:before="240" w:after="240" w:line="240" w:lineRule="auto"/>
        <w:jc w:val="both"/>
      </w:pPr>
      <w:r w:rsidRPr="6745AFA3" w:rsidR="144BE490">
        <w:rPr>
          <w:i w:val="1"/>
          <w:iCs w:val="1"/>
        </w:rPr>
        <w:t>"Wir reden ständig mit Rollstuhlfahrern, um unser System immer weiter zu verbessern</w:t>
      </w:r>
      <w:r w:rsidRPr="6745AFA3" w:rsidR="5FDAF38E">
        <w:rPr>
          <w:i w:val="1"/>
          <w:iCs w:val="1"/>
        </w:rPr>
        <w:t xml:space="preserve"> – damit</w:t>
      </w:r>
      <w:r w:rsidRPr="6745AFA3" w:rsidR="144BE490">
        <w:rPr>
          <w:i w:val="1"/>
          <w:iCs w:val="1"/>
        </w:rPr>
        <w:t xml:space="preserve"> sie unabhängiger werden</w:t>
      </w:r>
      <w:r w:rsidRPr="6745AFA3" w:rsidR="1D47C3CC">
        <w:rPr>
          <w:i w:val="1"/>
          <w:iCs w:val="1"/>
        </w:rPr>
        <w:t>,</w:t>
      </w:r>
      <w:r w:rsidRPr="6745AFA3" w:rsidR="144BE490">
        <w:rPr>
          <w:i w:val="1"/>
          <w:iCs w:val="1"/>
        </w:rPr>
        <w:t xml:space="preserve"> indem sie sich ohne Hilfe anderer bewegen können. Wir möchten ihnen eine Lösung geben, mit der sie sich nicht im Haus eingesperrt fühlen müssen oder ständig auf andere angewiesen sind, um irgendwohin zu kommen",</w:t>
      </w:r>
      <w:r w:rsidR="144BE490">
        <w:rPr/>
        <w:t xml:space="preserve"> so </w:t>
      </w:r>
      <w:r w:rsidR="144BE490">
        <w:rPr/>
        <w:t>Khaoula</w:t>
      </w:r>
      <w:r w:rsidR="144BE490">
        <w:rPr/>
        <w:t xml:space="preserve"> Ben Ahmed, CEO und Mitbegründerin von GEWINNER. </w:t>
      </w:r>
    </w:p>
    <w:p w:rsidR="00937664" w:rsidP="26FF0412" w:rsidRDefault="144BE490" w14:paraId="6CCF80C0" w14:textId="77777777">
      <w:pPr>
        <w:spacing w:before="240" w:after="240" w:line="240" w:lineRule="auto"/>
        <w:jc w:val="both"/>
        <w:rPr>
          <w:b/>
          <w:bCs/>
          <w:color w:val="CC0000"/>
        </w:rPr>
      </w:pPr>
      <w:r>
        <w:rPr>
          <w:b/>
          <w:color w:val="BE0F05"/>
        </w:rPr>
        <w:t>Mit Erfindungen Leben verändern</w:t>
      </w:r>
    </w:p>
    <w:p w:rsidR="00937664" w:rsidP="26FF0412" w:rsidRDefault="5CFD322F" w14:paraId="6CCF80C1" w14:textId="6FB8CDA4">
      <w:pPr>
        <w:spacing w:line="240" w:lineRule="auto"/>
        <w:jc w:val="both"/>
        <w:rPr>
          <w:b w:val="1"/>
          <w:bCs w:val="1"/>
        </w:rPr>
      </w:pPr>
      <w:r w:rsidR="5CFD322F">
        <w:rPr/>
        <w:t xml:space="preserve">Während ihres Studiums am Institut Supérieure des Technologies </w:t>
      </w:r>
      <w:r w:rsidR="5CFD322F">
        <w:rPr/>
        <w:t>Médicales</w:t>
      </w:r>
      <w:r w:rsidR="5CFD322F">
        <w:rPr/>
        <w:t xml:space="preserve"> de Tunis entwickelte das junge Team MOOVOBRAIN, nachdem jemand in der Familie eines Teammitglieds plötzlich auf einen Rollstuhl angewiesen war. Da erkannten sie, </w:t>
      </w:r>
      <w:r w:rsidRPr="6745AFA3" w:rsidR="5CFD322F">
        <w:rPr>
          <w:b w:val="1"/>
          <w:bCs w:val="1"/>
        </w:rPr>
        <w:t>wie dringend flexiblere Unterstützungstechnologien benötigt w</w:t>
      </w:r>
      <w:r w:rsidRPr="6745AFA3" w:rsidR="7D7F632E">
        <w:rPr>
          <w:b w:val="1"/>
          <w:bCs w:val="1"/>
        </w:rPr>
        <w:t>e</w:t>
      </w:r>
      <w:r w:rsidRPr="6745AFA3" w:rsidR="5CFD322F">
        <w:rPr>
          <w:b w:val="1"/>
          <w:bCs w:val="1"/>
        </w:rPr>
        <w:t>rden.</w:t>
      </w:r>
    </w:p>
    <w:p w:rsidR="00937664" w:rsidP="26FF0412" w:rsidRDefault="00937664" w14:paraId="6CCF80C2" w14:textId="77777777">
      <w:pPr>
        <w:spacing w:line="240" w:lineRule="auto"/>
        <w:jc w:val="both"/>
        <w:rPr>
          <w:lang w:val="en-GB"/>
        </w:rPr>
      </w:pPr>
    </w:p>
    <w:p w:rsidR="00937664" w:rsidP="26FF0412" w:rsidRDefault="144BE490" w14:paraId="6CCF80C3" w14:textId="26C916A1">
      <w:pPr>
        <w:spacing w:line="240" w:lineRule="auto"/>
        <w:jc w:val="both"/>
      </w:pPr>
      <w:r w:rsidR="144BE490">
        <w:rPr/>
        <w:t xml:space="preserve">Seit </w:t>
      </w:r>
      <w:r w:rsidR="48C7184A">
        <w:rPr/>
        <w:t>d</w:t>
      </w:r>
      <w:r w:rsidR="144BE490">
        <w:rPr/>
        <w:t xml:space="preserve">er Gründung 2019 ist GEWINNER nach dem Startup Act Label von Tunesien für seinen innovativen Beiträge anerkannt, stellte bereits auf namhaften Technologiemessen wie der </w:t>
      </w:r>
      <w:r w:rsidR="144BE490">
        <w:rPr/>
        <w:t>VivaTech</w:t>
      </w:r>
      <w:r w:rsidR="144BE490">
        <w:rPr/>
        <w:t xml:space="preserve"> Paris aus und erhielt mehrere Auszeichnungen für seine Technologie. Das Team erhielt außerdem </w:t>
      </w:r>
      <w:r w:rsidR="7397410A">
        <w:rPr/>
        <w:t xml:space="preserve">ein </w:t>
      </w:r>
      <w:r w:rsidR="144BE490">
        <w:rPr/>
        <w:t>Mentorship</w:t>
      </w:r>
      <w:r w:rsidR="144BE490">
        <w:rPr/>
        <w:t xml:space="preserve"> über ein Programm der Europäischen Investitionsbank, die ihre Expertise in Sachen Finanzierung und Geschäftsplanung beitrug.</w:t>
      </w:r>
    </w:p>
    <w:p w:rsidR="26FF0412" w:rsidP="26FF0412" w:rsidRDefault="26FF0412" w14:paraId="6CCF80C4" w14:textId="77777777">
      <w:pPr>
        <w:spacing w:line="240" w:lineRule="auto"/>
        <w:jc w:val="both"/>
        <w:rPr>
          <w:lang w:val="en-GB"/>
        </w:rPr>
      </w:pPr>
    </w:p>
    <w:p w:rsidR="7C22D297" w:rsidP="26FF0412" w:rsidRDefault="2D1A363A" w14:paraId="6CCF80C5" w14:textId="0AC86E6D">
      <w:pPr>
        <w:spacing w:line="240" w:lineRule="auto"/>
        <w:jc w:val="both"/>
      </w:pPr>
      <w:r w:rsidR="2D1A363A">
        <w:rPr/>
        <w:t xml:space="preserve">Das MOOVOBRAIN-System trägt direkt zu den UN-Nachhaltigkeitszielen (SDGs) 3, Gesundheit und Wohlergehen, und 10, </w:t>
      </w:r>
      <w:r w:rsidR="4CA73BB7">
        <w:rPr/>
        <w:t>w</w:t>
      </w:r>
      <w:r w:rsidR="2D1A363A">
        <w:rPr/>
        <w:t>eniger Ungleichheiten, bei. Als innovative Lösung zur Verbesserung der Mobilität und Unabhängigkeit verbessert die Erfindung die Gesundheit und das Wohlergehen eines wesentlichen Teils der Weltbevölkerung, der wegen Mobilitätseinschränkungen täglich mit großen Herausforderungen zu kämpfen hat. Da es durch seine verschiedenen Betriebsarten bei unterschiedlichen Behinderungen einsetzbar ist, bietet MOOVOBRAIN mehr Möglichkeiten für Mobilität und Teilhabe.</w:t>
      </w:r>
    </w:p>
    <w:p w:rsidR="00937664" w:rsidP="26FF0412" w:rsidRDefault="00937664" w14:paraId="6CCF80C6" w14:textId="77777777">
      <w:pPr>
        <w:spacing w:line="240" w:lineRule="auto"/>
        <w:jc w:val="both"/>
        <w:rPr>
          <w:lang w:val="en-GB"/>
        </w:rPr>
      </w:pPr>
    </w:p>
    <w:p w:rsidR="00937664" w:rsidP="6745AFA3" w:rsidRDefault="144BE490" w14:paraId="6CCF80C7" w14:textId="228BC837">
      <w:pPr>
        <w:spacing w:line="240" w:lineRule="auto"/>
        <w:jc w:val="both"/>
        <w:rPr>
          <w:i w:val="1"/>
          <w:iCs w:val="1"/>
        </w:rPr>
      </w:pPr>
      <w:r w:rsidR="144BE490">
        <w:rPr/>
        <w:t xml:space="preserve">Rückblickend auf die Entwicklung und Motivation zur Weiterentwicklung von MOOVOBRAIN erklärt </w:t>
      </w:r>
      <w:r w:rsidR="144BE490">
        <w:rPr/>
        <w:t>Souleima</w:t>
      </w:r>
      <w:r w:rsidR="144BE490">
        <w:rPr/>
        <w:t xml:space="preserve"> Ben </w:t>
      </w:r>
      <w:r w:rsidR="144BE490">
        <w:rPr/>
        <w:t>Temime</w:t>
      </w:r>
      <w:r w:rsidR="144BE490">
        <w:rPr/>
        <w:t xml:space="preserve">: </w:t>
      </w:r>
      <w:r w:rsidRPr="6745AFA3" w:rsidR="144BE490">
        <w:rPr>
          <w:i w:val="1"/>
          <w:iCs w:val="1"/>
        </w:rPr>
        <w:t xml:space="preserve">"Es ist </w:t>
      </w:r>
      <w:r w:rsidRPr="6745AFA3" w:rsidR="144BE490">
        <w:rPr>
          <w:i w:val="1"/>
          <w:iCs w:val="1"/>
        </w:rPr>
        <w:t>toll</w:t>
      </w:r>
      <w:r w:rsidRPr="6745AFA3" w:rsidR="144BE490">
        <w:rPr>
          <w:i w:val="1"/>
          <w:iCs w:val="1"/>
        </w:rPr>
        <w:t xml:space="preserve"> zu sehen, was wir in unserer Gesellschaft bewirken. Das treibt uns bei unserem Projekt weiter an, besonders</w:t>
      </w:r>
      <w:r w:rsidRPr="6745AFA3" w:rsidR="144BE490">
        <w:rPr>
          <w:i w:val="1"/>
          <w:iCs w:val="1"/>
        </w:rPr>
        <w:t xml:space="preserve"> </w:t>
      </w:r>
      <w:r w:rsidRPr="6745AFA3" w:rsidR="144BE490">
        <w:rPr>
          <w:i w:val="1"/>
          <w:iCs w:val="1"/>
        </w:rPr>
        <w:t>weil</w:t>
      </w:r>
      <w:r w:rsidRPr="6745AFA3" w:rsidR="144BE490">
        <w:rPr>
          <w:i w:val="1"/>
          <w:iCs w:val="1"/>
        </w:rPr>
        <w:t xml:space="preserve"> die Arbeit mit fortschrittlichen Technologien nicht einfach ist in einem globalisierten Markt, in dem wir mit vielen Menschen Kontakt halten, Messen besuchen und rund um die Welt reisen müssen." </w:t>
      </w:r>
    </w:p>
    <w:p w:rsidR="00937664" w:rsidP="26FF0412" w:rsidRDefault="00937664" w14:paraId="6CCF80C8" w14:textId="77777777">
      <w:pPr>
        <w:spacing w:line="240" w:lineRule="auto"/>
        <w:jc w:val="both"/>
        <w:rPr>
          <w:i/>
          <w:iCs/>
          <w:color w:val="FF0000"/>
          <w:lang w:val="en-GB"/>
        </w:rPr>
      </w:pPr>
    </w:p>
    <w:p w:rsidR="00937664" w:rsidP="6745AFA3" w:rsidRDefault="768E1E1B" w14:paraId="6CCF80C9" w14:textId="0E306976">
      <w:pPr>
        <w:pStyle w:val="Normal"/>
        <w:suppressLineNumbers w:val="0"/>
        <w:bidi w:val="0"/>
        <w:spacing w:before="0" w:beforeAutospacing="off" w:after="0" w:afterAutospacing="off" w:line="240" w:lineRule="auto"/>
        <w:ind w:left="0" w:right="0"/>
        <w:jc w:val="both"/>
      </w:pPr>
      <w:r w:rsidR="768E1E1B">
        <w:rPr/>
        <w:t xml:space="preserve">Die tunesischen Erfinderinnen des innovativen Systems wurden unter die drei </w:t>
      </w:r>
      <w:r w:rsidR="768E1E1B">
        <w:rPr/>
        <w:t>Finalistenteams</w:t>
      </w:r>
      <w:r w:rsidR="768E1E1B">
        <w:rPr/>
        <w:t xml:space="preserve"> für den Young Inventors Prize beim diesjährigen Europäischen Erfinderpreis nominiert, mit dem herausragende Erfinder unter 30 Jahren gewürdigt werden</w:t>
      </w:r>
      <w:r w:rsidRPr="6745AFA3" w:rsidR="768E1E1B">
        <w:rPr>
          <w:b w:val="1"/>
          <w:bCs w:val="1"/>
        </w:rPr>
        <w:t>.</w:t>
      </w:r>
      <w:r w:rsidR="768E1E1B">
        <w:rPr>
          <w:b w:val="0"/>
          <w:bCs w:val="0"/>
        </w:rPr>
        <w:t xml:space="preserve"> </w:t>
      </w:r>
      <w:r w:rsidR="38104A80">
        <w:rPr>
          <w:b w:val="0"/>
          <w:bCs w:val="0"/>
        </w:rPr>
        <w:t xml:space="preserve">Die anderen Finalisten sind die Niederländerin Rochelle </w:t>
      </w:r>
      <w:r w:rsidR="38104A80">
        <w:rPr>
          <w:b w:val="0"/>
          <w:bCs w:val="0"/>
        </w:rPr>
        <w:t>Niemeijer</w:t>
      </w:r>
      <w:r w:rsidR="38104A80">
        <w:rPr>
          <w:b w:val="0"/>
          <w:bCs w:val="0"/>
        </w:rPr>
        <w:t xml:space="preserve">, deren tragbares </w:t>
      </w:r>
      <w:r w:rsidR="38104A80">
        <w:rPr>
          <w:b w:val="0"/>
          <w:bCs w:val="0"/>
        </w:rPr>
        <w:t>Testkit</w:t>
      </w:r>
      <w:r w:rsidR="38104A80">
        <w:rPr>
          <w:b w:val="0"/>
          <w:bCs w:val="0"/>
        </w:rPr>
        <w:t xml:space="preserve"> zur schnellen Identifizierung von bakteriellen Infektionen im Kampf gegen Antibiotikaresistenzen von entscheidender Bedeutung sein könnte, und der Ukrainer </w:t>
      </w:r>
      <w:r w:rsidR="38104A80">
        <w:rPr>
          <w:b w:val="0"/>
          <w:bCs w:val="0"/>
        </w:rPr>
        <w:t>Valentyn</w:t>
      </w:r>
      <w:r w:rsidR="38104A80">
        <w:rPr>
          <w:b w:val="0"/>
          <w:bCs w:val="0"/>
        </w:rPr>
        <w:t xml:space="preserve"> </w:t>
      </w:r>
      <w:r w:rsidR="38104A80">
        <w:rPr>
          <w:b w:val="0"/>
          <w:bCs w:val="0"/>
        </w:rPr>
        <w:t>Frechka</w:t>
      </w:r>
      <w:r w:rsidR="38104A80">
        <w:rPr>
          <w:b w:val="0"/>
          <w:bCs w:val="0"/>
        </w:rPr>
        <w:t xml:space="preserve">, der eine Methode zur </w:t>
      </w:r>
      <w:r w:rsidR="3FC04F1C">
        <w:rPr>
          <w:b w:val="0"/>
          <w:bCs w:val="0"/>
        </w:rPr>
        <w:t xml:space="preserve">Verarbeitung </w:t>
      </w:r>
      <w:r w:rsidR="38104A80">
        <w:rPr>
          <w:b w:val="0"/>
          <w:bCs w:val="0"/>
        </w:rPr>
        <w:t xml:space="preserve">von Laub in wiederverwertbares Papier entwickelt hat, wodurch die Abholzung von Wäldern verringert und die CO2-Emissionen gesenkt werden. </w:t>
      </w:r>
      <w:r w:rsidRPr="6745AFA3" w:rsidR="768E1E1B">
        <w:rPr>
          <w:b w:val="1"/>
          <w:bCs w:val="1"/>
        </w:rPr>
        <w:t>Die Bekanntgabe der Gewinnerinnen und Gewinner des Europäischen Erfinderpreises 2024 und des Young Inventors Prize</w:t>
      </w:r>
      <w:r w:rsidR="768E1E1B">
        <w:rPr/>
        <w:t xml:space="preserve"> erfolgt bei der Preisverleihung, die am 9. Juli 2024 per </w:t>
      </w:r>
      <w:hyperlink r:id="Rf0ab11e5f20c4969">
        <w:r w:rsidRPr="6745AFA3" w:rsidR="768E1E1B">
          <w:rPr>
            <w:rStyle w:val="Hyperlink"/>
          </w:rPr>
          <w:t>Livestream</w:t>
        </w:r>
      </w:hyperlink>
      <w:r w:rsidR="768E1E1B">
        <w:rPr/>
        <w:t xml:space="preserve"> aus Malta übertragen wird</w:t>
      </w:r>
      <w:r w:rsidR="5BF48D45">
        <w:rPr/>
        <w:t>.</w:t>
      </w:r>
    </w:p>
    <w:p w:rsidR="00937664" w:rsidP="26FF0412" w:rsidRDefault="005360FD" w14:paraId="6CCF80CA" w14:textId="71EAA8D2">
      <w:pPr>
        <w:spacing w:line="240" w:lineRule="auto"/>
        <w:jc w:val="both"/>
        <w:rPr>
          <w:color w:val="00000A"/>
          <w:highlight w:val="yellow"/>
        </w:rPr>
      </w:pPr>
      <w:r>
        <w:br/>
      </w:r>
      <w:r w:rsidRPr="22E37A4D" w:rsidR="005360FD">
        <w:rPr>
          <w:color w:val="00000A"/>
        </w:rPr>
        <w:t>Weitere Informationen über die Auswirkungen der Erfindung, die Technologie und Näheres zu den Erfinderinnen und Erfindern finden Sie</w:t>
      </w:r>
      <w:r w:rsidRPr="22E37A4D" w:rsidR="062B4ECB">
        <w:rPr>
          <w:color w:val="00000A"/>
        </w:rPr>
        <w:t xml:space="preserve"> </w:t>
      </w:r>
      <w:hyperlink r:id="R6214867e3ebf4abe">
        <w:r w:rsidRPr="22E37A4D" w:rsidR="062B4ECB">
          <w:rPr>
            <w:rStyle w:val="Hyperlink"/>
          </w:rPr>
          <w:t>hier</w:t>
        </w:r>
      </w:hyperlink>
      <w:r w:rsidRPr="22E37A4D" w:rsidR="062B4ECB">
        <w:rPr>
          <w:color w:val="00000A"/>
        </w:rPr>
        <w:t>.</w:t>
      </w:r>
      <w:r w:rsidRPr="22E37A4D" w:rsidR="005360FD">
        <w:rPr>
          <w:color w:val="00000A"/>
        </w:rPr>
        <w:t xml:space="preserve"> </w:t>
      </w:r>
    </w:p>
    <w:p w:rsidR="00937664" w:rsidP="26FF0412" w:rsidRDefault="00937664" w14:paraId="6CCF80CB" w14:textId="77777777">
      <w:pPr>
        <w:spacing w:line="240" w:lineRule="auto"/>
        <w:jc w:val="both"/>
        <w:rPr>
          <w:lang w:val="en-GB"/>
        </w:rPr>
      </w:pPr>
    </w:p>
    <w:p w:rsidR="00937664" w:rsidP="26FF0412" w:rsidRDefault="00937664" w14:paraId="6CCF80CC" w14:textId="77777777">
      <w:pPr>
        <w:spacing w:line="360" w:lineRule="auto"/>
        <w:rPr>
          <w:b/>
          <w:bCs/>
          <w:lang w:val="en-GB"/>
        </w:rPr>
      </w:pPr>
    </w:p>
    <w:p w:rsidR="00937664" w:rsidP="26FF0412" w:rsidRDefault="144BE490" w14:paraId="6CCF80CD" w14:textId="77777777">
      <w:pPr>
        <w:spacing w:after="160" w:line="259" w:lineRule="auto"/>
        <w:rPr>
          <w:sz w:val="20"/>
          <w:szCs w:val="20"/>
        </w:rPr>
      </w:pPr>
      <w:r>
        <w:rPr>
          <w:b/>
          <w:sz w:val="20"/>
        </w:rPr>
        <w:t>Medienkontakte Europäisches Patentamt</w:t>
      </w:r>
    </w:p>
    <w:p w:rsidR="00937664" w:rsidP="26FF0412" w:rsidRDefault="144BE490" w14:paraId="6CCF80CE" w14:textId="77777777">
      <w:pPr>
        <w:spacing w:line="240" w:lineRule="auto"/>
        <w:rPr>
          <w:sz w:val="20"/>
          <w:szCs w:val="20"/>
        </w:rPr>
      </w:pPr>
      <w:r>
        <w:rPr>
          <w:b/>
          <w:sz w:val="20"/>
        </w:rPr>
        <w:t>Luis Berenguer Giménez</w:t>
      </w:r>
      <w:r>
        <w:rPr>
          <w:sz w:val="20"/>
        </w:rPr>
        <w:t xml:space="preserve"> </w:t>
      </w:r>
      <w:r>
        <w:br/>
      </w:r>
      <w:r>
        <w:rPr>
          <w:sz w:val="20"/>
        </w:rPr>
        <w:t>Hauptdirektor Kommunikation / EPA-Sprecher</w:t>
      </w:r>
    </w:p>
    <w:p w:rsidR="00937664" w:rsidP="26FF0412" w:rsidRDefault="00937664" w14:paraId="6CCF80CF" w14:textId="77777777">
      <w:pPr>
        <w:spacing w:line="240" w:lineRule="auto"/>
        <w:rPr>
          <w:b/>
          <w:bCs/>
          <w:sz w:val="20"/>
          <w:szCs w:val="20"/>
          <w:lang w:val="en-GB"/>
        </w:rPr>
      </w:pPr>
    </w:p>
    <w:p w:rsidR="00937664" w:rsidP="26FF0412" w:rsidRDefault="144BE490" w14:paraId="6CCF80D0" w14:textId="77777777">
      <w:pPr>
        <w:spacing w:line="240" w:lineRule="auto"/>
        <w:rPr>
          <w:sz w:val="20"/>
          <w:szCs w:val="20"/>
        </w:rPr>
      </w:pPr>
      <w:r>
        <w:rPr>
          <w:b/>
          <w:sz w:val="20"/>
        </w:rPr>
        <w:t>EPA-Pressestelle</w:t>
      </w:r>
    </w:p>
    <w:p w:rsidR="00937664" w:rsidP="26FF0412" w:rsidRDefault="004838A0" w14:paraId="6CCF80D1" w14:textId="77777777">
      <w:pPr>
        <w:rPr>
          <w:b/>
          <w:bCs/>
          <w:sz w:val="18"/>
          <w:szCs w:val="18"/>
        </w:rPr>
      </w:pPr>
      <w:hyperlink r:id="R518b0e1628b842fd">
        <w:r w:rsidRPr="22E37A4D" w:rsidR="007A4DF3">
          <w:rPr>
            <w:color w:val="0000FF"/>
            <w:sz w:val="20"/>
            <w:szCs w:val="20"/>
            <w:u w:val="single"/>
          </w:rPr>
          <w:t>press@epo.org</w:t>
        </w:r>
      </w:hyperlink>
      <w:r w:rsidRPr="22E37A4D" w:rsidR="007A4DF3">
        <w:rPr>
          <w:sz w:val="20"/>
          <w:szCs w:val="20"/>
        </w:rPr>
        <w:t xml:space="preserve"> </w:t>
      </w:r>
      <w:r>
        <w:br/>
      </w:r>
      <w:r w:rsidRPr="22E37A4D" w:rsidR="007A4DF3">
        <w:rPr>
          <w:sz w:val="20"/>
          <w:szCs w:val="20"/>
        </w:rPr>
        <w:t>Tel.: +49 89 2399-1833</w:t>
      </w:r>
      <w:r>
        <w:br/>
      </w:r>
    </w:p>
    <w:p w:rsidR="3B52D348" w:rsidP="22E37A4D" w:rsidRDefault="3B52D348" w14:paraId="7668283D" w14:textId="0BFB1918">
      <w:pPr>
        <w:pStyle w:val="Normal0"/>
        <w:spacing w:before="240" w:after="240"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GB"/>
        </w:rPr>
      </w:pPr>
      <w:r w:rsidRPr="22E37A4D" w:rsidR="3B52D348">
        <w:rPr>
          <w:rFonts w:ascii="Arial" w:hAnsi="Arial" w:eastAsia="Arial" w:cs="Arial"/>
          <w:b w:val="1"/>
          <w:bCs w:val="1"/>
          <w:i w:val="0"/>
          <w:iCs w:val="0"/>
          <w:caps w:val="0"/>
          <w:smallCaps w:val="0"/>
          <w:noProof w:val="0"/>
          <w:color w:val="000000" w:themeColor="text1" w:themeTint="FF" w:themeShade="FF"/>
          <w:sz w:val="18"/>
          <w:szCs w:val="18"/>
          <w:lang w:val="de-DE"/>
        </w:rPr>
        <w:t>Young Inventors Prize</w:t>
      </w:r>
    </w:p>
    <w:p w:rsidR="3B52D348" w:rsidP="22E37A4D" w:rsidRDefault="3B52D348" w14:paraId="2679BC65" w14:textId="7CF74892">
      <w:pPr>
        <w:pStyle w:val="Normal0"/>
        <w:spacing w:before="240" w:after="240"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GB"/>
        </w:rPr>
      </w:pPr>
      <w:r w:rsidRPr="22E37A4D" w:rsidR="3B52D348">
        <w:rPr>
          <w:rFonts w:ascii="Arial" w:hAnsi="Arial" w:eastAsia="Arial" w:cs="Arial"/>
          <w:b w:val="0"/>
          <w:bCs w:val="0"/>
          <w:i w:val="0"/>
          <w:iCs w:val="0"/>
          <w:caps w:val="0"/>
          <w:smallCaps w:val="0"/>
          <w:noProof w:val="0"/>
          <w:color w:val="000000" w:themeColor="text1" w:themeTint="FF" w:themeShade="FF"/>
          <w:sz w:val="18"/>
          <w:szCs w:val="18"/>
          <w:lang w:val="de-DE"/>
        </w:rPr>
        <w:t xml:space="preserve">Das Europäisches Patentamt rief den Young Inventors Prize 2021 ins Leben, um die nächste Generation von Erfinderinnen und Erfindern zu inspirieren. Dieser Preis richtet sich an innovative Menschen im Alter von bis zu 30 Jahren aus aller Welt, in Anerkennung von Initiativen, die mittels Technologie zu den Nachhaltigkeitszielen der Vereinten Nationen beitragen. Dem Gewinner winkt ein Preisgeld in Höhe von 20 000 EUR. Der Zweitplatzierte erhält 10 000 EUR und der Finalist, der auf dem dritten Platz landet, bekommt 5 000 EUR. Die Finalisten und Gewinner werden von einer unabhängigen Jury aus früheren Finalistinnen und Finalisten des Europäischen Erfinderpreises und des Young Inventors Prize ausgewählt. Das EPA überreicht die Preise bei der Hybrid-Preisverleihung des Europäischen Erfinderpreises 2024 am 9. Juli. Im Gegensatz zu den traditionellen Kategorien des Europäischen Erfinderpreises müssen die Preisträger kein europäisches Patent erhalten haben. </w:t>
      </w:r>
      <w:hyperlink w:anchor="prizes?mtm_campaign=EIA2024&amp;mtm_keyword=pressrelease&amp;mtm_medium=press" r:id="R7f9983c9e2cf405b">
        <w:r w:rsidRPr="22E37A4D" w:rsidR="3B52D348">
          <w:rPr>
            <w:rStyle w:val="Hyperlink"/>
            <w:rFonts w:ascii="Arial" w:hAnsi="Arial" w:eastAsia="Arial" w:cs="Arial"/>
            <w:b w:val="0"/>
            <w:bCs w:val="0"/>
            <w:i w:val="0"/>
            <w:iCs w:val="0"/>
            <w:caps w:val="0"/>
            <w:smallCaps w:val="0"/>
            <w:strike w:val="0"/>
            <w:dstrike w:val="0"/>
            <w:noProof w:val="0"/>
            <w:sz w:val="18"/>
            <w:szCs w:val="18"/>
            <w:lang w:val="de-DE"/>
          </w:rPr>
          <w:t>Hier erfahren Sie mehr</w:t>
        </w:r>
      </w:hyperlink>
      <w:r w:rsidRPr="22E37A4D" w:rsidR="3B52D348">
        <w:rPr>
          <w:rFonts w:ascii="Arial" w:hAnsi="Arial" w:eastAsia="Arial" w:cs="Arial"/>
          <w:b w:val="0"/>
          <w:bCs w:val="0"/>
          <w:i w:val="0"/>
          <w:iCs w:val="0"/>
          <w:caps w:val="0"/>
          <w:smallCaps w:val="0"/>
          <w:noProof w:val="0"/>
          <w:color w:val="000000" w:themeColor="text1" w:themeTint="FF" w:themeShade="FF"/>
          <w:sz w:val="18"/>
          <w:szCs w:val="18"/>
          <w:lang w:val="de-DE"/>
        </w:rPr>
        <w:t xml:space="preserve"> über die Qualifikations- und Auswahlkriterien des Young Inventors Prize.</w:t>
      </w:r>
    </w:p>
    <w:p w:rsidR="3B52D348" w:rsidP="22E37A4D" w:rsidRDefault="3B52D348" w14:paraId="6E74E97B" w14:textId="534CB588">
      <w:pPr>
        <w:jc w:val="both"/>
        <w:rPr>
          <w:rFonts w:ascii="Arial" w:hAnsi="Arial" w:eastAsia="Arial" w:cs="Arial"/>
          <w:b w:val="0"/>
          <w:bCs w:val="0"/>
          <w:i w:val="0"/>
          <w:iCs w:val="0"/>
          <w:caps w:val="0"/>
          <w:smallCaps w:val="0"/>
          <w:noProof w:val="0"/>
          <w:color w:val="000000" w:themeColor="text1" w:themeTint="FF" w:themeShade="FF"/>
          <w:sz w:val="18"/>
          <w:szCs w:val="18"/>
          <w:lang w:val="en-US"/>
        </w:rPr>
      </w:pPr>
      <w:r w:rsidRPr="22E37A4D" w:rsidR="3B52D348">
        <w:rPr>
          <w:rFonts w:ascii="Arial" w:hAnsi="Arial" w:eastAsia="Arial" w:cs="Arial"/>
          <w:b w:val="1"/>
          <w:bCs w:val="1"/>
          <w:i w:val="0"/>
          <w:iCs w:val="0"/>
          <w:caps w:val="0"/>
          <w:smallCaps w:val="0"/>
          <w:noProof w:val="0"/>
          <w:color w:val="000000" w:themeColor="text1" w:themeTint="FF" w:themeShade="FF"/>
          <w:sz w:val="18"/>
          <w:szCs w:val="18"/>
          <w:lang w:val="de-DE"/>
        </w:rPr>
        <w:t>Über den Europäischen Erfinderpreis</w:t>
      </w:r>
    </w:p>
    <w:p w:rsidR="3B52D348" w:rsidP="22E37A4D" w:rsidRDefault="3B52D348" w14:paraId="54CA8E3B" w14:textId="18BD431F">
      <w:pPr>
        <w:jc w:val="both"/>
        <w:rPr>
          <w:rFonts w:ascii="Arial" w:hAnsi="Arial" w:eastAsia="Arial" w:cs="Arial"/>
          <w:b w:val="0"/>
          <w:bCs w:val="0"/>
          <w:i w:val="0"/>
          <w:iCs w:val="0"/>
          <w:caps w:val="0"/>
          <w:smallCaps w:val="0"/>
          <w:noProof w:val="0"/>
          <w:color w:val="21252C"/>
          <w:sz w:val="18"/>
          <w:szCs w:val="18"/>
          <w:lang w:val="en-US"/>
        </w:rPr>
      </w:pPr>
      <w:r w:rsidRPr="22E37A4D" w:rsidR="3B52D348">
        <w:rPr>
          <w:rFonts w:ascii="Arial" w:hAnsi="Arial" w:eastAsia="Arial" w:cs="Arial"/>
          <w:b w:val="0"/>
          <w:bCs w:val="0"/>
          <w:i w:val="0"/>
          <w:iCs w:val="0"/>
          <w:caps w:val="0"/>
          <w:smallCaps w:val="0"/>
          <w:noProof w:val="0"/>
          <w:color w:val="000000" w:themeColor="text1" w:themeTint="FF" w:themeShade="FF"/>
          <w:sz w:val="18"/>
          <w:szCs w:val="18"/>
          <w:lang w:val="de-DE"/>
        </w:rPr>
        <w:t xml:space="preserve">Der Europäische Erfinderpreis ist einer der renommiertesten Innovationspreise in Europa. Mit dem 2006 vom EPA ins Leben gerufenen Preis werden Einzelpersonen und Teams ausgezeichnet, die Lösungen für einige der größten Herausforderungen unserer Zeit gefunden haben. Die Jury des Europäischen Erfinderpreises besteht aus Erfindern, die allesamt ehemalige Finalistinnen und Finalisten sind. Bei der Beurteilung der Vorschläge stützt sich die unabhängige Jury auf ihr umfangreiches Fachwissen in den Bereichen Technik, Wirtschaft und geistiges Eigentum. Im Jahr 2024 hat Wolfgang M. Heckl den Vorsitz der Jury inne. Alle Erfinder müssen für ihre Erfindung ein europäisches Patent erhalten haben. </w:t>
      </w:r>
      <w:hyperlink r:id="R1a109d1c72f146c3">
        <w:r w:rsidRPr="22E37A4D" w:rsidR="3B52D348">
          <w:rPr>
            <w:rStyle w:val="Hyperlink"/>
            <w:rFonts w:ascii="Arial" w:hAnsi="Arial" w:eastAsia="Arial" w:cs="Arial"/>
            <w:b w:val="0"/>
            <w:bCs w:val="0"/>
            <w:i w:val="0"/>
            <w:iCs w:val="0"/>
            <w:caps w:val="0"/>
            <w:smallCaps w:val="0"/>
            <w:strike w:val="0"/>
            <w:dstrike w:val="0"/>
            <w:noProof w:val="0"/>
            <w:sz w:val="18"/>
            <w:szCs w:val="18"/>
            <w:lang w:val="de-DE"/>
          </w:rPr>
          <w:t>Weitere Informationen</w:t>
        </w:r>
      </w:hyperlink>
      <w:r w:rsidRPr="22E37A4D" w:rsidR="3B52D348">
        <w:rPr>
          <w:rFonts w:ascii="Arial" w:hAnsi="Arial" w:eastAsia="Arial" w:cs="Arial"/>
          <w:b w:val="0"/>
          <w:bCs w:val="0"/>
          <w:i w:val="0"/>
          <w:iCs w:val="0"/>
          <w:caps w:val="0"/>
          <w:smallCaps w:val="0"/>
          <w:noProof w:val="0"/>
          <w:color w:val="21252C"/>
          <w:sz w:val="18"/>
          <w:szCs w:val="18"/>
          <w:lang w:val="de-DE"/>
        </w:rPr>
        <w:t xml:space="preserve"> zu den verschiedenen Kategorien und Preisen, den für die Auswahl geltenden Kriterien und zur Preisverleihungszeremonie am 9. Juli 2024 in Malta, die im Livestream verfolgt werden kann.</w:t>
      </w:r>
    </w:p>
    <w:p w:rsidR="22E37A4D" w:rsidP="22E37A4D" w:rsidRDefault="22E37A4D" w14:paraId="238FF536" w14:textId="1B2C9543">
      <w:pPr>
        <w:jc w:val="both"/>
        <w:rPr>
          <w:rFonts w:ascii="Arial" w:hAnsi="Arial" w:eastAsia="Arial" w:cs="Arial"/>
          <w:b w:val="0"/>
          <w:bCs w:val="0"/>
          <w:i w:val="0"/>
          <w:iCs w:val="0"/>
          <w:caps w:val="0"/>
          <w:smallCaps w:val="0"/>
          <w:noProof w:val="0"/>
          <w:color w:val="000000" w:themeColor="text1" w:themeTint="FF" w:themeShade="FF"/>
          <w:sz w:val="18"/>
          <w:szCs w:val="18"/>
          <w:lang w:val="en-US"/>
        </w:rPr>
      </w:pPr>
    </w:p>
    <w:p w:rsidR="3B52D348" w:rsidP="22E37A4D" w:rsidRDefault="3B52D348" w14:paraId="7D9C78B4" w14:textId="59E0029C">
      <w:pPr>
        <w:jc w:val="both"/>
        <w:rPr>
          <w:rFonts w:ascii="Arial" w:hAnsi="Arial" w:eastAsia="Arial" w:cs="Arial"/>
          <w:b w:val="0"/>
          <w:bCs w:val="0"/>
          <w:i w:val="0"/>
          <w:iCs w:val="0"/>
          <w:caps w:val="0"/>
          <w:smallCaps w:val="0"/>
          <w:noProof w:val="0"/>
          <w:color w:val="000000" w:themeColor="text1" w:themeTint="FF" w:themeShade="FF"/>
          <w:sz w:val="18"/>
          <w:szCs w:val="18"/>
          <w:lang w:val="en-US"/>
        </w:rPr>
      </w:pPr>
      <w:r w:rsidRPr="22E37A4D" w:rsidR="3B52D348">
        <w:rPr>
          <w:rFonts w:ascii="Arial" w:hAnsi="Arial" w:eastAsia="Arial" w:cs="Arial"/>
          <w:b w:val="1"/>
          <w:bCs w:val="1"/>
          <w:i w:val="0"/>
          <w:iCs w:val="0"/>
          <w:caps w:val="0"/>
          <w:smallCaps w:val="0"/>
          <w:noProof w:val="0"/>
          <w:color w:val="000000" w:themeColor="text1" w:themeTint="FF" w:themeShade="FF"/>
          <w:sz w:val="18"/>
          <w:szCs w:val="18"/>
          <w:lang w:val="de-DE"/>
        </w:rPr>
        <w:t>Über das EPA</w:t>
      </w:r>
    </w:p>
    <w:p w:rsidR="3B52D348" w:rsidP="22E37A4D" w:rsidRDefault="3B52D348" w14:paraId="36BB092F" w14:textId="0E009FBD">
      <w:pPr>
        <w:jc w:val="both"/>
        <w:rPr>
          <w:rFonts w:ascii="Arial" w:hAnsi="Arial" w:eastAsia="Arial" w:cs="Arial"/>
          <w:b w:val="0"/>
          <w:bCs w:val="0"/>
          <w:i w:val="0"/>
          <w:iCs w:val="0"/>
          <w:caps w:val="0"/>
          <w:smallCaps w:val="0"/>
          <w:noProof w:val="0"/>
          <w:color w:val="000000" w:themeColor="text1" w:themeTint="FF" w:themeShade="FF"/>
          <w:sz w:val="18"/>
          <w:szCs w:val="18"/>
          <w:lang w:val="en-US"/>
        </w:rPr>
      </w:pPr>
      <w:r w:rsidRPr="22E37A4D" w:rsidR="3B52D348">
        <w:rPr>
          <w:rFonts w:ascii="Arial" w:hAnsi="Arial" w:eastAsia="Arial" w:cs="Arial"/>
          <w:b w:val="0"/>
          <w:bCs w:val="0"/>
          <w:i w:val="0"/>
          <w:iCs w:val="0"/>
          <w:caps w:val="0"/>
          <w:smallCaps w:val="0"/>
          <w:noProof w:val="0"/>
          <w:color w:val="000000" w:themeColor="text1" w:themeTint="FF" w:themeShade="FF"/>
          <w:sz w:val="18"/>
          <w:szCs w:val="18"/>
          <w:lang w:val="de-DE"/>
        </w:rPr>
        <w:t xml:space="preserve">Mit 6 300 Beschäftigten ist das </w:t>
      </w:r>
      <w:hyperlink r:id="Rff2f30609cf04bc7">
        <w:r w:rsidRPr="22E37A4D" w:rsidR="3B52D348">
          <w:rPr>
            <w:rStyle w:val="Hyperlink"/>
            <w:rFonts w:ascii="Arial" w:hAnsi="Arial" w:eastAsia="Arial" w:cs="Arial"/>
            <w:b w:val="0"/>
            <w:bCs w:val="0"/>
            <w:i w:val="0"/>
            <w:iCs w:val="0"/>
            <w:caps w:val="0"/>
            <w:smallCaps w:val="0"/>
            <w:strike w:val="0"/>
            <w:dstrike w:val="0"/>
            <w:noProof w:val="0"/>
            <w:sz w:val="18"/>
            <w:szCs w:val="18"/>
            <w:lang w:val="de-DE"/>
          </w:rPr>
          <w:t>Europäische Patentamt (EPA)</w:t>
        </w:r>
      </w:hyperlink>
      <w:r w:rsidRPr="22E37A4D" w:rsidR="3B52D348">
        <w:rPr>
          <w:rFonts w:ascii="Arial" w:hAnsi="Arial" w:eastAsia="Arial" w:cs="Arial"/>
          <w:b w:val="0"/>
          <w:bCs w:val="0"/>
          <w:i w:val="0"/>
          <w:iCs w:val="0"/>
          <w:caps w:val="0"/>
          <w:smallCaps w:val="0"/>
          <w:noProof w:val="0"/>
          <w:color w:val="000000" w:themeColor="text1" w:themeTint="FF" w:themeShade="FF"/>
          <w:sz w:val="18"/>
          <w:szCs w:val="18"/>
          <w:lang w:val="de-DE"/>
        </w:rPr>
        <w:t xml:space="preserve"> eine der größten Behörden in Europa. Das Amt, das seinen Hauptsitz in München sowie Niederlassungen in Berlin, Brüssel, Den Haag und Wien hat, wurde mit dem Ziel gegründet, die Zusammenarbeit zwischen den Staaten Europas auf dem Gebiet des Patentwesens zu stärken. Dank des zentralisierten Verfahrens vor dem EPA können Erfinderinnen und Erfinder hochwertigen Patentschutz in bis zu 45 Staaten erlangen, die zusammen einen Markt von rund 700 Millionen Menschen umfassen. Das EPA ist zudem weltweit führend in den Bereichen Patentinformation und Patentrecherche.</w:t>
      </w:r>
    </w:p>
    <w:p w:rsidR="22E37A4D" w:rsidP="22E37A4D" w:rsidRDefault="22E37A4D" w14:paraId="09EEC602" w14:textId="0FAE2351">
      <w:pPr>
        <w:pStyle w:val="Normal"/>
        <w:spacing w:before="240" w:after="240"/>
        <w:jc w:val="both"/>
        <w:rPr>
          <w:rFonts w:ascii="Arial" w:hAnsi="Arial" w:eastAsia="Arial" w:cs="Arial"/>
          <w:b w:val="0"/>
          <w:bCs w:val="0"/>
          <w:i w:val="0"/>
          <w:iCs w:val="0"/>
          <w:caps w:val="0"/>
          <w:smallCaps w:val="0"/>
          <w:noProof w:val="0"/>
          <w:color w:val="000000" w:themeColor="text1" w:themeTint="FF" w:themeShade="FF"/>
          <w:sz w:val="18"/>
          <w:szCs w:val="18"/>
          <w:lang w:val="en-US"/>
        </w:rPr>
      </w:pPr>
    </w:p>
    <w:sectPr w:rsidR="00937664">
      <w:pgSz w:w="11909" w:h="16834" w:orient="portrait"/>
      <w:pgMar w:top="1440" w:right="1440" w:bottom="1440" w:left="1440" w:header="720" w:footer="720" w:gutter="0"/>
      <w:pgNumType w:start="1"/>
      <w:cols w:space="720"/>
      <w:headerReference w:type="default" r:id="Rbfc24908fe5f42b3"/>
      <w:footerReference w:type="default" r:id="Rf7eaae32e16847bd"/>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w:fontKey="{2E55154B-15F0-4DD8-AD59-E66A50ACA985}" r:id="rId1"/>
    <w:embedItalic w:fontKey="{C0950367-8073-46E4-94E5-F6563561488E}" r:id="rId2"/>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354A3452-F012-4C8E-8F8D-A34B6604A401}" r:id="rId3"/>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22E37A4D" w:rsidTr="22E37A4D" w14:paraId="2E69168D">
      <w:trPr>
        <w:trHeight w:val="300"/>
      </w:trPr>
      <w:tc>
        <w:tcPr>
          <w:tcW w:w="3005" w:type="dxa"/>
          <w:tcMar/>
        </w:tcPr>
        <w:p w:rsidR="22E37A4D" w:rsidP="22E37A4D" w:rsidRDefault="22E37A4D" w14:paraId="223897DD" w14:textId="144D8E31">
          <w:pPr>
            <w:pStyle w:val="Header"/>
            <w:bidi w:val="0"/>
            <w:ind w:left="-115"/>
            <w:jc w:val="left"/>
          </w:pPr>
        </w:p>
      </w:tc>
      <w:tc>
        <w:tcPr>
          <w:tcW w:w="3005" w:type="dxa"/>
          <w:tcMar/>
        </w:tcPr>
        <w:p w:rsidR="22E37A4D" w:rsidP="22E37A4D" w:rsidRDefault="22E37A4D" w14:paraId="4E4AFFE4" w14:textId="4C4A0554">
          <w:pPr>
            <w:pStyle w:val="Header"/>
            <w:bidi w:val="0"/>
            <w:jc w:val="center"/>
          </w:pPr>
        </w:p>
      </w:tc>
      <w:tc>
        <w:tcPr>
          <w:tcW w:w="3005" w:type="dxa"/>
          <w:tcMar/>
        </w:tcPr>
        <w:p w:rsidR="22E37A4D" w:rsidP="22E37A4D" w:rsidRDefault="22E37A4D" w14:paraId="1A9CC506" w14:textId="49235A0D">
          <w:pPr>
            <w:pStyle w:val="Header"/>
            <w:bidi w:val="0"/>
            <w:ind w:right="-115"/>
            <w:jc w:val="right"/>
          </w:pPr>
        </w:p>
      </w:tc>
    </w:tr>
  </w:tbl>
  <w:p w:rsidR="22E37A4D" w:rsidP="22E37A4D" w:rsidRDefault="22E37A4D" w14:paraId="487166D3" w14:textId="67AE678E">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22E37A4D" w:rsidTr="22E37A4D" w14:paraId="25C5D609">
      <w:trPr>
        <w:trHeight w:val="300"/>
      </w:trPr>
      <w:tc>
        <w:tcPr>
          <w:tcW w:w="3005" w:type="dxa"/>
          <w:tcMar/>
        </w:tcPr>
        <w:p w:rsidR="22E37A4D" w:rsidP="22E37A4D" w:rsidRDefault="22E37A4D" w14:paraId="217A12AB" w14:textId="2C408E6F">
          <w:pPr>
            <w:tabs>
              <w:tab w:val="center" w:leader="none" w:pos="4680"/>
              <w:tab w:val="right" w:leader="none" w:pos="9360"/>
            </w:tabs>
            <w:bidi w:val="0"/>
            <w:spacing w:line="240" w:lineRule="auto"/>
            <w:ind w:left="-115"/>
            <w:jc w:val="left"/>
            <w:rPr>
              <w:rFonts w:ascii="Arial" w:hAnsi="Arial" w:eastAsia="Arial" w:cs="Arial"/>
              <w:b w:val="0"/>
              <w:bCs w:val="0"/>
              <w:i w:val="0"/>
              <w:iCs w:val="0"/>
              <w:caps w:val="0"/>
              <w:smallCaps w:val="0"/>
              <w:color w:val="000000" w:themeColor="text1" w:themeTint="FF" w:themeShade="FF"/>
              <w:sz w:val="22"/>
              <w:szCs w:val="22"/>
              <w:lang w:val="en-US"/>
            </w:rPr>
          </w:pPr>
          <w:r w:rsidR="22E37A4D">
            <w:drawing>
              <wp:inline wp14:editId="678D8E17" wp14:anchorId="775983E9">
                <wp:extent cx="1485900" cy="742950"/>
                <wp:effectExtent l="0" t="0" r="0" b="0"/>
                <wp:docPr id="550046743" name="" descr="Logo European Patent Office" title=""/>
                <wp:cNvGraphicFramePr>
                  <a:graphicFrameLocks noChangeAspect="1"/>
                </wp:cNvGraphicFramePr>
                <a:graphic>
                  <a:graphicData uri="http://schemas.openxmlformats.org/drawingml/2006/picture">
                    <pic:pic>
                      <pic:nvPicPr>
                        <pic:cNvPr id="0" name=""/>
                        <pic:cNvPicPr/>
                      </pic:nvPicPr>
                      <pic:blipFill>
                        <a:blip r:embed="Rf239fedd2045424f">
                          <a:extLst>
                            <a:ext xmlns:a="http://schemas.openxmlformats.org/drawingml/2006/main" uri="{28A0092B-C50C-407E-A947-70E740481C1C}">
                              <a14:useLocalDpi val="0"/>
                            </a:ext>
                          </a:extLst>
                        </a:blip>
                        <a:stretch>
                          <a:fillRect/>
                        </a:stretch>
                      </pic:blipFill>
                      <pic:spPr>
                        <a:xfrm>
                          <a:off x="0" y="0"/>
                          <a:ext cx="1485900" cy="742950"/>
                        </a:xfrm>
                        <a:prstGeom prst="rect">
                          <a:avLst/>
                        </a:prstGeom>
                      </pic:spPr>
                    </pic:pic>
                  </a:graphicData>
                </a:graphic>
              </wp:inline>
            </w:drawing>
          </w:r>
        </w:p>
      </w:tc>
      <w:tc>
        <w:tcPr>
          <w:tcW w:w="3005" w:type="dxa"/>
          <w:tcMar/>
        </w:tcPr>
        <w:p w:rsidR="22E37A4D" w:rsidP="22E37A4D" w:rsidRDefault="22E37A4D" w14:paraId="6CB23259" w14:textId="208F27C4">
          <w:pPr>
            <w:tabs>
              <w:tab w:val="center" w:leader="none" w:pos="4680"/>
              <w:tab w:val="right" w:leader="none" w:pos="9360"/>
            </w:tabs>
            <w:bidi w:val="0"/>
            <w:spacing w:line="240" w:lineRule="auto"/>
            <w:jc w:val="center"/>
            <w:rPr>
              <w:rFonts w:ascii="Arial" w:hAnsi="Arial" w:eastAsia="Arial" w:cs="Arial"/>
              <w:b w:val="0"/>
              <w:bCs w:val="0"/>
              <w:i w:val="0"/>
              <w:iCs w:val="0"/>
              <w:caps w:val="0"/>
              <w:smallCaps w:val="0"/>
              <w:color w:val="000000" w:themeColor="text1" w:themeTint="FF" w:themeShade="FF"/>
              <w:sz w:val="22"/>
              <w:szCs w:val="22"/>
              <w:lang w:val="en-US"/>
            </w:rPr>
          </w:pPr>
        </w:p>
      </w:tc>
      <w:tc>
        <w:tcPr>
          <w:tcW w:w="3005" w:type="dxa"/>
          <w:tcMar/>
        </w:tcPr>
        <w:p w:rsidR="22E37A4D" w:rsidP="22E37A4D" w:rsidRDefault="22E37A4D" w14:paraId="379744F1" w14:textId="784771F8">
          <w:pPr>
            <w:tabs>
              <w:tab w:val="center" w:leader="none" w:pos="4680"/>
              <w:tab w:val="right" w:leader="none" w:pos="9360"/>
            </w:tabs>
            <w:bidi w:val="0"/>
            <w:spacing w:line="240" w:lineRule="auto"/>
            <w:ind w:right="-115"/>
            <w:jc w:val="right"/>
            <w:rPr>
              <w:rFonts w:ascii="Arial" w:hAnsi="Arial" w:eastAsia="Arial" w:cs="Arial"/>
              <w:b w:val="0"/>
              <w:bCs w:val="0"/>
              <w:i w:val="0"/>
              <w:iCs w:val="0"/>
              <w:caps w:val="0"/>
              <w:smallCaps w:val="0"/>
              <w:color w:val="000000" w:themeColor="text1" w:themeTint="FF" w:themeShade="FF"/>
              <w:sz w:val="22"/>
              <w:szCs w:val="22"/>
              <w:lang w:val="en-US"/>
            </w:rPr>
          </w:pPr>
          <w:r w:rsidR="22E37A4D">
            <w:drawing>
              <wp:inline wp14:editId="01A111F9" wp14:anchorId="60AC5C80">
                <wp:extent cx="1685925" cy="609600"/>
                <wp:effectExtent l="0" t="0" r="0" b="0"/>
                <wp:docPr id="827217606" name="" title=""/>
                <wp:cNvGraphicFramePr>
                  <a:graphicFrameLocks noChangeAspect="1"/>
                </wp:cNvGraphicFramePr>
                <a:graphic>
                  <a:graphicData uri="http://schemas.openxmlformats.org/drawingml/2006/picture">
                    <pic:pic>
                      <pic:nvPicPr>
                        <pic:cNvPr id="0" name=""/>
                        <pic:cNvPicPr/>
                      </pic:nvPicPr>
                      <pic:blipFill>
                        <a:blip r:embed="Rb9d03c75713a4384">
                          <a:extLst>
                            <a:ext xmlns:a="http://schemas.openxmlformats.org/drawingml/2006/main" uri="{28A0092B-C50C-407E-A947-70E740481C1C}">
                              <a14:useLocalDpi val="0"/>
                            </a:ext>
                          </a:extLst>
                        </a:blip>
                        <a:stretch>
                          <a:fillRect/>
                        </a:stretch>
                      </pic:blipFill>
                      <pic:spPr>
                        <a:xfrm>
                          <a:off x="0" y="0"/>
                          <a:ext cx="1685925" cy="609600"/>
                        </a:xfrm>
                        <a:prstGeom prst="rect">
                          <a:avLst/>
                        </a:prstGeom>
                      </pic:spPr>
                    </pic:pic>
                  </a:graphicData>
                </a:graphic>
              </wp:inline>
            </w:drawing>
          </w:r>
        </w:p>
      </w:tc>
    </w:tr>
  </w:tbl>
  <w:p w:rsidR="22E37A4D" w:rsidP="22E37A4D" w:rsidRDefault="22E37A4D" w14:paraId="0A9F6909" w14:textId="0ADB0250">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37A1B"/>
    <w:multiLevelType w:val="multilevel"/>
    <w:tmpl w:val="8A4047A8"/>
    <w:lvl w:ilvl="0">
      <w:start w:val="1"/>
      <w:numFmt w:val="decimal"/>
      <w:lvlRestart w:val="0"/>
      <w:pStyle w:val="EPOHeading1"/>
      <w:lvlText w:val="%1."/>
      <w:lvlJc w:val="left"/>
      <w:pPr>
        <w:tabs>
          <w:tab w:val="num" w:pos="567"/>
        </w:tabs>
        <w:ind w:left="567" w:hanging="567"/>
      </w:pPr>
      <w:rPr>
        <w:rFonts w:ascii="Arial" w:hAnsi="Arial" w:cs="Arial"/>
      </w:rPr>
    </w:lvl>
    <w:lvl w:ilvl="1">
      <w:start w:val="1"/>
      <w:numFmt w:val="decimal"/>
      <w:pStyle w:val="EPOHeading2"/>
      <w:lvlText w:val="%1.%2."/>
      <w:lvlJc w:val="left"/>
      <w:pPr>
        <w:tabs>
          <w:tab w:val="num" w:pos="680"/>
        </w:tabs>
        <w:ind w:left="680" w:hanging="680"/>
      </w:pPr>
      <w:rPr>
        <w:rFonts w:ascii="Arial" w:hAnsi="Arial" w:cs="Arial"/>
      </w:rPr>
    </w:lvl>
    <w:lvl w:ilvl="2">
      <w:start w:val="1"/>
      <w:numFmt w:val="decimal"/>
      <w:pStyle w:val="EPOHeading3"/>
      <w:lvlText w:val="%1.%2.%3."/>
      <w:lvlJc w:val="left"/>
      <w:pPr>
        <w:tabs>
          <w:tab w:val="num" w:pos="794"/>
        </w:tabs>
        <w:ind w:left="794" w:hanging="794"/>
      </w:pPr>
      <w:rPr>
        <w:rFonts w:ascii="Arial" w:hAnsi="Arial" w:cs="Arial"/>
      </w:rPr>
    </w:lvl>
    <w:lvl w:ilvl="3">
      <w:start w:val="1"/>
      <w:numFmt w:val="decimal"/>
      <w:pStyle w:val="EPOHeading4"/>
      <w:lvlText w:val="%1.%2.%3.%4."/>
      <w:lvlJc w:val="left"/>
      <w:pPr>
        <w:tabs>
          <w:tab w:val="num" w:pos="964"/>
        </w:tabs>
        <w:ind w:left="964" w:hanging="964"/>
      </w:pPr>
      <w:rPr>
        <w:rFonts w:ascii="Arial" w:hAnsi="Arial" w:cs="Arial"/>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0165D10"/>
    <w:multiLevelType w:val="multilevel"/>
    <w:tmpl w:val="74E60DCE"/>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9CA6E42"/>
    <w:multiLevelType w:val="multilevel"/>
    <w:tmpl w:val="D01EAB6C"/>
    <w:lvl w:ilvl="0">
      <w:start w:val="1"/>
      <w:numFmt w:val="decimal"/>
      <w:pStyle w:val="EPOList-numbers"/>
      <w:lvlText w:val="%1."/>
      <w:lvlJc w:val="left"/>
      <w:pPr>
        <w:tabs>
          <w:tab w:val="num" w:pos="397"/>
        </w:tabs>
        <w:ind w:left="397" w:hanging="397"/>
      </w:pPr>
      <w:rPr>
        <w:rFonts w:ascii="Arial" w:hAnsi="Arial" w:cs="Arial"/>
      </w:rPr>
    </w:lvl>
    <w:lvl w:ilvl="1">
      <w:start w:val="1"/>
      <w:numFmt w:val="decimal"/>
      <w:lvlText w:val="%2."/>
      <w:lvlJc w:val="left"/>
      <w:pPr>
        <w:tabs>
          <w:tab w:val="num" w:pos="964"/>
        </w:tabs>
        <w:ind w:left="964" w:hanging="397"/>
      </w:pPr>
      <w:rPr>
        <w:rFonts w:ascii="Arial" w:hAnsi="Arial" w:cs="Arial"/>
      </w:rPr>
    </w:lvl>
    <w:lvl w:ilvl="2">
      <w:start w:val="1"/>
      <w:numFmt w:val="decimal"/>
      <w:lvlText w:val="%3."/>
      <w:lvlJc w:val="left"/>
      <w:pPr>
        <w:tabs>
          <w:tab w:val="num" w:pos="1531"/>
        </w:tabs>
        <w:ind w:left="1531" w:hanging="397"/>
      </w:pPr>
      <w:rPr>
        <w:rFonts w:ascii="Arial" w:hAnsi="Arial" w:cs="Arial"/>
      </w:rPr>
    </w:lvl>
    <w:lvl w:ilvl="3">
      <w:start w:val="1"/>
      <w:numFmt w:val="decimal"/>
      <w:lvlText w:val="%4."/>
      <w:lvlJc w:val="left"/>
      <w:pPr>
        <w:tabs>
          <w:tab w:val="num" w:pos="2098"/>
        </w:tabs>
        <w:ind w:left="2098" w:hanging="397"/>
      </w:pPr>
      <w:rPr>
        <w:rFonts w:ascii="Arial" w:hAnsi="Arial" w:cs="Arial"/>
      </w:rPr>
    </w:lvl>
    <w:lvl w:ilvl="4">
      <w:start w:val="1"/>
      <w:numFmt w:val="decimal"/>
      <w:lvlText w:val="%5."/>
      <w:lvlJc w:val="left"/>
      <w:pPr>
        <w:tabs>
          <w:tab w:val="num" w:pos="2665"/>
        </w:tabs>
        <w:ind w:left="2665" w:hanging="397"/>
      </w:pPr>
      <w:rPr>
        <w:rFonts w:ascii="Arial" w:hAnsi="Arial" w:cs="Arial"/>
      </w:rPr>
    </w:lvl>
    <w:lvl w:ilvl="5">
      <w:start w:val="1"/>
      <w:numFmt w:val="decimal"/>
      <w:lvlText w:val="%6."/>
      <w:lvlJc w:val="left"/>
      <w:pPr>
        <w:tabs>
          <w:tab w:val="num" w:pos="3231"/>
        </w:tabs>
        <w:ind w:left="3231" w:hanging="396"/>
      </w:pPr>
      <w:rPr>
        <w:rFonts w:ascii="Arial" w:hAnsi="Arial" w:cs="Arial"/>
      </w:rPr>
    </w:lvl>
    <w:lvl w:ilvl="6">
      <w:start w:val="1"/>
      <w:numFmt w:val="decimal"/>
      <w:lvlText w:val="%7."/>
      <w:lvlJc w:val="left"/>
      <w:pPr>
        <w:tabs>
          <w:tab w:val="num" w:pos="3798"/>
        </w:tabs>
        <w:ind w:left="3798" w:hanging="396"/>
      </w:pPr>
      <w:rPr>
        <w:rFonts w:ascii="Arial" w:hAnsi="Arial" w:cs="Arial"/>
      </w:rPr>
    </w:lvl>
    <w:lvl w:ilvl="7">
      <w:start w:val="1"/>
      <w:numFmt w:val="decimal"/>
      <w:lvlText w:val="%8."/>
      <w:lvlJc w:val="left"/>
      <w:pPr>
        <w:tabs>
          <w:tab w:val="num" w:pos="4365"/>
        </w:tabs>
        <w:ind w:left="4365" w:hanging="396"/>
      </w:pPr>
      <w:rPr>
        <w:rFonts w:ascii="Arial" w:hAnsi="Arial" w:cs="Arial"/>
      </w:rPr>
    </w:lvl>
    <w:lvl w:ilvl="8">
      <w:start w:val="1"/>
      <w:numFmt w:val="decimal"/>
      <w:lvlText w:val="%9."/>
      <w:lvlJc w:val="left"/>
      <w:pPr>
        <w:tabs>
          <w:tab w:val="num" w:pos="4932"/>
        </w:tabs>
        <w:ind w:left="4932" w:hanging="397"/>
      </w:pPr>
      <w:rPr>
        <w:rFonts w:ascii="Arial" w:hAnsi="Arial" w:cs="Arial"/>
      </w:rPr>
    </w:lvl>
  </w:abstractNum>
  <w:abstractNum w:abstractNumId="3" w15:restartNumberingAfterBreak="0">
    <w:nsid w:val="3BE15B73"/>
    <w:multiLevelType w:val="multilevel"/>
    <w:tmpl w:val="5E46F6C4"/>
    <w:lvl w:ilvl="0">
      <w:start w:val="1"/>
      <w:numFmt w:val="lowerLetter"/>
      <w:pStyle w:val="EPOList-letters"/>
      <w:lvlText w:val="%1."/>
      <w:lvlJc w:val="left"/>
      <w:pPr>
        <w:tabs>
          <w:tab w:val="num" w:pos="397"/>
        </w:tabs>
        <w:ind w:left="397" w:hanging="397"/>
      </w:pPr>
      <w:rPr>
        <w:rFonts w:ascii="Arial" w:hAnsi="Arial" w:cs="Arial"/>
      </w:rPr>
    </w:lvl>
    <w:lvl w:ilvl="1">
      <w:start w:val="1"/>
      <w:numFmt w:val="lowerLetter"/>
      <w:pStyle w:val="Heading2"/>
      <w:lvlText w:val="%2."/>
      <w:lvlJc w:val="left"/>
      <w:pPr>
        <w:tabs>
          <w:tab w:val="num" w:pos="964"/>
        </w:tabs>
        <w:ind w:left="964" w:hanging="397"/>
      </w:pPr>
      <w:rPr>
        <w:rFonts w:ascii="Arial" w:hAnsi="Arial" w:cs="Arial"/>
      </w:rPr>
    </w:lvl>
    <w:lvl w:ilvl="2">
      <w:start w:val="1"/>
      <w:numFmt w:val="lowerLetter"/>
      <w:pStyle w:val="Heading3"/>
      <w:lvlText w:val="%3."/>
      <w:lvlJc w:val="left"/>
      <w:pPr>
        <w:tabs>
          <w:tab w:val="num" w:pos="1531"/>
        </w:tabs>
        <w:ind w:left="1531" w:hanging="397"/>
      </w:pPr>
      <w:rPr>
        <w:rFonts w:ascii="Arial" w:hAnsi="Arial" w:cs="Arial"/>
      </w:rPr>
    </w:lvl>
    <w:lvl w:ilvl="3">
      <w:start w:val="1"/>
      <w:numFmt w:val="lowerLetter"/>
      <w:pStyle w:val="Heading4"/>
      <w:lvlText w:val="%4."/>
      <w:lvlJc w:val="left"/>
      <w:pPr>
        <w:tabs>
          <w:tab w:val="num" w:pos="2098"/>
        </w:tabs>
        <w:ind w:left="2098" w:hanging="397"/>
      </w:pPr>
      <w:rPr>
        <w:rFonts w:ascii="Arial" w:hAnsi="Arial" w:cs="Arial"/>
      </w:rPr>
    </w:lvl>
    <w:lvl w:ilvl="4">
      <w:start w:val="1"/>
      <w:numFmt w:val="lowerLetter"/>
      <w:pStyle w:val="Heading5"/>
      <w:lvlText w:val="%5."/>
      <w:lvlJc w:val="left"/>
      <w:pPr>
        <w:tabs>
          <w:tab w:val="num" w:pos="2665"/>
        </w:tabs>
        <w:ind w:left="2665" w:hanging="397"/>
      </w:pPr>
      <w:rPr>
        <w:rFonts w:ascii="Arial" w:hAnsi="Arial" w:cs="Arial"/>
      </w:rPr>
    </w:lvl>
    <w:lvl w:ilvl="5">
      <w:start w:val="1"/>
      <w:numFmt w:val="lowerLetter"/>
      <w:pStyle w:val="Heading6"/>
      <w:lvlText w:val="%6."/>
      <w:lvlJc w:val="left"/>
      <w:pPr>
        <w:tabs>
          <w:tab w:val="num" w:pos="3231"/>
        </w:tabs>
        <w:ind w:left="3231" w:hanging="396"/>
      </w:pPr>
      <w:rPr>
        <w:rFonts w:ascii="Arial" w:hAnsi="Arial" w:cs="Arial"/>
      </w:rPr>
    </w:lvl>
    <w:lvl w:ilvl="6">
      <w:start w:val="1"/>
      <w:numFmt w:val="lowerLetter"/>
      <w:pStyle w:val="Heading7"/>
      <w:lvlText w:val="%7."/>
      <w:lvlJc w:val="left"/>
      <w:pPr>
        <w:tabs>
          <w:tab w:val="num" w:pos="3798"/>
        </w:tabs>
        <w:ind w:left="3798" w:hanging="396"/>
      </w:pPr>
      <w:rPr>
        <w:rFonts w:ascii="Arial" w:hAnsi="Arial" w:cs="Arial"/>
      </w:rPr>
    </w:lvl>
    <w:lvl w:ilvl="7">
      <w:start w:val="1"/>
      <w:numFmt w:val="lowerLetter"/>
      <w:pStyle w:val="Heading8"/>
      <w:lvlText w:val="%8."/>
      <w:lvlJc w:val="left"/>
      <w:pPr>
        <w:tabs>
          <w:tab w:val="num" w:pos="4365"/>
        </w:tabs>
        <w:ind w:left="4365" w:hanging="396"/>
      </w:pPr>
      <w:rPr>
        <w:rFonts w:ascii="Arial" w:hAnsi="Arial" w:cs="Arial"/>
      </w:rPr>
    </w:lvl>
    <w:lvl w:ilvl="8">
      <w:start w:val="1"/>
      <w:numFmt w:val="lowerLetter"/>
      <w:pStyle w:val="Heading9"/>
      <w:lvlText w:val="%9."/>
      <w:lvlJc w:val="left"/>
      <w:pPr>
        <w:tabs>
          <w:tab w:val="num" w:pos="4932"/>
        </w:tabs>
        <w:ind w:left="4932" w:hanging="397"/>
      </w:pPr>
      <w:rPr>
        <w:rFonts w:ascii="Arial" w:hAnsi="Arial" w:cs="Arial"/>
      </w:rPr>
    </w:lvl>
  </w:abstractNum>
  <w:abstractNum w:abstractNumId="4" w15:restartNumberingAfterBreak="0">
    <w:nsid w:val="3D714621"/>
    <w:multiLevelType w:val="multilevel"/>
    <w:tmpl w:val="FA46F664"/>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tabs>
          <w:tab w:val="num" w:pos="794"/>
        </w:tabs>
        <w:ind w:left="794" w:hanging="794"/>
      </w:pPr>
      <w:rPr>
        <w:rFonts w:ascii="Arial" w:hAnsi="Arial" w:cs="Aria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08B4EE5"/>
    <w:multiLevelType w:val="multilevel"/>
    <w:tmpl w:val="0D06092A"/>
    <w:lvl w:ilvl="0">
      <w:start w:val="1"/>
      <w:numFmt w:val="decimal"/>
      <w:pStyle w:val="EPOAnnex"/>
      <w:lvlText w:val="Annex %1"/>
      <w:lvlJc w:val="left"/>
      <w:pPr>
        <w:tabs>
          <w:tab w:val="num" w:pos="567"/>
        </w:tabs>
        <w:ind w:left="567" w:hanging="567"/>
      </w:pPr>
      <w:rPr>
        <w:rFonts w:ascii="Arial" w:hAnsi="Arial" w:cs="Arial"/>
      </w:rPr>
    </w:lvl>
    <w:lvl w:ilvl="1">
      <w:start w:val="1"/>
      <w:numFmt w:val="decimal"/>
      <w:lvlText w:val="Annex %2"/>
      <w:lvlJc w:val="left"/>
      <w:pPr>
        <w:tabs>
          <w:tab w:val="num" w:pos="1134"/>
        </w:tabs>
        <w:ind w:left="1134" w:hanging="567"/>
      </w:pPr>
      <w:rPr>
        <w:rFonts w:ascii="Arial" w:hAnsi="Arial" w:cs="Arial"/>
      </w:rPr>
    </w:lvl>
    <w:lvl w:ilvl="2">
      <w:start w:val="1"/>
      <w:numFmt w:val="decimal"/>
      <w:lvlText w:val="Annex %3"/>
      <w:lvlJc w:val="left"/>
      <w:pPr>
        <w:tabs>
          <w:tab w:val="num" w:pos="1701"/>
        </w:tabs>
        <w:ind w:left="1701" w:hanging="567"/>
      </w:pPr>
      <w:rPr>
        <w:rFonts w:ascii="Arial" w:hAnsi="Arial" w:cs="Arial"/>
      </w:rPr>
    </w:lvl>
    <w:lvl w:ilvl="3">
      <w:start w:val="1"/>
      <w:numFmt w:val="decimal"/>
      <w:lvlText w:val="Annex %4"/>
      <w:lvlJc w:val="left"/>
      <w:pPr>
        <w:tabs>
          <w:tab w:val="num" w:pos="2268"/>
        </w:tabs>
        <w:ind w:left="2268" w:hanging="567"/>
      </w:pPr>
      <w:rPr>
        <w:rFonts w:ascii="Arial" w:hAnsi="Arial" w:cs="Arial"/>
      </w:rPr>
    </w:lvl>
    <w:lvl w:ilvl="4">
      <w:start w:val="1"/>
      <w:numFmt w:val="decimal"/>
      <w:lvlText w:val="Annex %5"/>
      <w:lvlJc w:val="left"/>
      <w:pPr>
        <w:tabs>
          <w:tab w:val="num" w:pos="2835"/>
        </w:tabs>
        <w:ind w:left="2835" w:hanging="567"/>
      </w:pPr>
      <w:rPr>
        <w:rFonts w:ascii="Arial" w:hAnsi="Arial" w:cs="Arial"/>
      </w:rPr>
    </w:lvl>
    <w:lvl w:ilvl="5">
      <w:start w:val="1"/>
      <w:numFmt w:val="decimal"/>
      <w:lvlText w:val="Annex %6"/>
      <w:lvlJc w:val="left"/>
      <w:pPr>
        <w:tabs>
          <w:tab w:val="num" w:pos="3402"/>
        </w:tabs>
        <w:ind w:left="3402" w:hanging="567"/>
      </w:pPr>
      <w:rPr>
        <w:rFonts w:ascii="Arial" w:hAnsi="Arial" w:cs="Arial"/>
      </w:rPr>
    </w:lvl>
    <w:lvl w:ilvl="6">
      <w:start w:val="1"/>
      <w:numFmt w:val="decimal"/>
      <w:lvlText w:val="Annex %7"/>
      <w:lvlJc w:val="left"/>
      <w:pPr>
        <w:tabs>
          <w:tab w:val="num" w:pos="3969"/>
        </w:tabs>
        <w:ind w:left="3969" w:hanging="567"/>
      </w:pPr>
      <w:rPr>
        <w:rFonts w:ascii="Arial" w:hAnsi="Arial" w:cs="Arial"/>
      </w:rPr>
    </w:lvl>
    <w:lvl w:ilvl="7">
      <w:start w:val="1"/>
      <w:numFmt w:val="decimal"/>
      <w:lvlText w:val="Annex %8"/>
      <w:lvlJc w:val="left"/>
      <w:pPr>
        <w:tabs>
          <w:tab w:val="num" w:pos="4535"/>
        </w:tabs>
        <w:ind w:left="4535" w:hanging="566"/>
      </w:pPr>
      <w:rPr>
        <w:rFonts w:ascii="Arial" w:hAnsi="Arial" w:cs="Arial"/>
      </w:rPr>
    </w:lvl>
    <w:lvl w:ilvl="8">
      <w:start w:val="1"/>
      <w:numFmt w:val="decimal"/>
      <w:lvlText w:val="Annex %9"/>
      <w:lvlJc w:val="left"/>
      <w:pPr>
        <w:tabs>
          <w:tab w:val="num" w:pos="5102"/>
        </w:tabs>
        <w:ind w:left="5102" w:hanging="567"/>
      </w:pPr>
      <w:rPr>
        <w:rFonts w:ascii="Arial" w:hAnsi="Arial" w:cs="Arial"/>
      </w:rPr>
    </w:lvl>
  </w:abstractNum>
  <w:abstractNum w:abstractNumId="6" w15:restartNumberingAfterBreak="0">
    <w:nsid w:val="55D22763"/>
    <w:multiLevelType w:val="multilevel"/>
    <w:tmpl w:val="DDC6771A"/>
    <w:lvl w:ilvl="0">
      <w:start w:val="1"/>
      <w:numFmt w:val="bullet"/>
      <w:pStyle w:val="EPOBullet2ndlevel"/>
      <w:lvlText w:val="-"/>
      <w:lvlJc w:val="left"/>
      <w:pPr>
        <w:tabs>
          <w:tab w:val="num" w:pos="1701"/>
        </w:tabs>
        <w:ind w:left="1701" w:hanging="567"/>
      </w:pPr>
      <w:rPr>
        <w:rFonts w:hint="default" w:ascii="Symbol" w:hAnsi="Symbol"/>
      </w:rPr>
    </w:lvl>
    <w:lvl w:ilvl="1">
      <w:start w:val="1"/>
      <w:numFmt w:val="bullet"/>
      <w:lvlText w:val="-"/>
      <w:lvlJc w:val="left"/>
      <w:pPr>
        <w:tabs>
          <w:tab w:val="num" w:pos="2268"/>
        </w:tabs>
        <w:ind w:left="2268" w:hanging="567"/>
      </w:pPr>
      <w:rPr>
        <w:rFonts w:hint="default" w:ascii="Symbol" w:hAnsi="Symbol"/>
      </w:rPr>
    </w:lvl>
    <w:lvl w:ilvl="2">
      <w:start w:val="1"/>
      <w:numFmt w:val="bullet"/>
      <w:lvlText w:val="-"/>
      <w:lvlJc w:val="left"/>
      <w:pPr>
        <w:tabs>
          <w:tab w:val="num" w:pos="2835"/>
        </w:tabs>
        <w:ind w:left="2835" w:hanging="567"/>
      </w:pPr>
      <w:rPr>
        <w:rFonts w:hint="default" w:ascii="Symbol" w:hAnsi="Symbol"/>
      </w:rPr>
    </w:lvl>
    <w:lvl w:ilvl="3">
      <w:start w:val="1"/>
      <w:numFmt w:val="bullet"/>
      <w:lvlText w:val="-"/>
      <w:lvlJc w:val="left"/>
      <w:pPr>
        <w:tabs>
          <w:tab w:val="num" w:pos="3402"/>
        </w:tabs>
        <w:ind w:left="3402" w:hanging="567"/>
      </w:pPr>
      <w:rPr>
        <w:rFonts w:hint="default" w:ascii="Symbol" w:hAnsi="Symbol"/>
      </w:rPr>
    </w:lvl>
    <w:lvl w:ilvl="4">
      <w:start w:val="1"/>
      <w:numFmt w:val="bullet"/>
      <w:lvlText w:val="-"/>
      <w:lvlJc w:val="left"/>
      <w:pPr>
        <w:tabs>
          <w:tab w:val="num" w:pos="3969"/>
        </w:tabs>
        <w:ind w:left="3969" w:hanging="567"/>
      </w:pPr>
      <w:rPr>
        <w:rFonts w:hint="default" w:ascii="Symbol" w:hAnsi="Symbol"/>
      </w:rPr>
    </w:lvl>
    <w:lvl w:ilvl="5">
      <w:start w:val="1"/>
      <w:numFmt w:val="bullet"/>
      <w:lvlText w:val="-"/>
      <w:lvlJc w:val="left"/>
      <w:pPr>
        <w:tabs>
          <w:tab w:val="num" w:pos="4535"/>
        </w:tabs>
        <w:ind w:left="4535" w:hanging="566"/>
      </w:pPr>
      <w:rPr>
        <w:rFonts w:hint="default" w:ascii="Symbol" w:hAnsi="Symbol"/>
      </w:rPr>
    </w:lvl>
    <w:lvl w:ilvl="6">
      <w:start w:val="1"/>
      <w:numFmt w:val="bullet"/>
      <w:lvlText w:val="-"/>
      <w:lvlJc w:val="left"/>
      <w:pPr>
        <w:tabs>
          <w:tab w:val="num" w:pos="5102"/>
        </w:tabs>
        <w:ind w:left="5102" w:hanging="567"/>
      </w:pPr>
      <w:rPr>
        <w:rFonts w:hint="default" w:ascii="Symbol" w:hAnsi="Symbol"/>
      </w:rPr>
    </w:lvl>
    <w:lvl w:ilvl="7">
      <w:start w:val="1"/>
      <w:numFmt w:val="bullet"/>
      <w:lvlText w:val="-"/>
      <w:lvlJc w:val="left"/>
      <w:pPr>
        <w:tabs>
          <w:tab w:val="num" w:pos="5669"/>
        </w:tabs>
        <w:ind w:left="5669" w:hanging="567"/>
      </w:pPr>
      <w:rPr>
        <w:rFonts w:hint="default" w:ascii="Symbol" w:hAnsi="Symbol"/>
      </w:rPr>
    </w:lvl>
    <w:lvl w:ilvl="8">
      <w:start w:val="1"/>
      <w:numFmt w:val="bullet"/>
      <w:lvlText w:val="-"/>
      <w:lvlJc w:val="left"/>
      <w:pPr>
        <w:tabs>
          <w:tab w:val="num" w:pos="6236"/>
        </w:tabs>
        <w:ind w:left="6236" w:hanging="567"/>
      </w:pPr>
      <w:rPr>
        <w:rFonts w:hint="default" w:ascii="Symbol" w:hAnsi="Symbol"/>
      </w:rPr>
    </w:lvl>
  </w:abstractNum>
  <w:abstractNum w:abstractNumId="7" w15:restartNumberingAfterBreak="0">
    <w:nsid w:val="5D2943AF"/>
    <w:multiLevelType w:val="multilevel"/>
    <w:tmpl w:val="5862FD22"/>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E7B4DDF"/>
    <w:multiLevelType w:val="hybridMultilevel"/>
    <w:tmpl w:val="FFFFFFFF"/>
    <w:lvl w:ilvl="0" w:tplc="C1987C6A">
      <w:start w:val="1"/>
      <w:numFmt w:val="bullet"/>
      <w:lvlText w:val="●"/>
      <w:lvlJc w:val="left"/>
      <w:pPr>
        <w:ind w:left="720" w:hanging="360"/>
      </w:pPr>
      <w:rPr>
        <w:rFonts w:hint="default" w:ascii="Noto Sans Symbols" w:hAnsi="Noto Sans Symbols"/>
      </w:rPr>
    </w:lvl>
    <w:lvl w:ilvl="1" w:tplc="504612CE">
      <w:start w:val="1"/>
      <w:numFmt w:val="bullet"/>
      <w:lvlText w:val="o"/>
      <w:lvlJc w:val="left"/>
      <w:pPr>
        <w:ind w:left="1440" w:hanging="360"/>
      </w:pPr>
      <w:rPr>
        <w:rFonts w:hint="default" w:ascii="Courier New" w:hAnsi="Courier New"/>
      </w:rPr>
    </w:lvl>
    <w:lvl w:ilvl="2" w:tplc="E16C7DD6">
      <w:start w:val="1"/>
      <w:numFmt w:val="bullet"/>
      <w:lvlText w:val="▪"/>
      <w:lvlJc w:val="left"/>
      <w:pPr>
        <w:ind w:left="2160" w:hanging="360"/>
      </w:pPr>
      <w:rPr>
        <w:rFonts w:hint="default" w:ascii="Noto Sans Symbols" w:hAnsi="Noto Sans Symbols"/>
      </w:rPr>
    </w:lvl>
    <w:lvl w:ilvl="3" w:tplc="E742543C">
      <w:start w:val="1"/>
      <w:numFmt w:val="bullet"/>
      <w:lvlText w:val="●"/>
      <w:lvlJc w:val="left"/>
      <w:pPr>
        <w:ind w:left="2880" w:hanging="360"/>
      </w:pPr>
      <w:rPr>
        <w:rFonts w:hint="default" w:ascii="Noto Sans Symbols" w:hAnsi="Noto Sans Symbols"/>
      </w:rPr>
    </w:lvl>
    <w:lvl w:ilvl="4" w:tplc="19B20B3E">
      <w:start w:val="1"/>
      <w:numFmt w:val="bullet"/>
      <w:lvlText w:val="o"/>
      <w:lvlJc w:val="left"/>
      <w:pPr>
        <w:ind w:left="3600" w:hanging="360"/>
      </w:pPr>
      <w:rPr>
        <w:rFonts w:hint="default" w:ascii="Courier New" w:hAnsi="Courier New"/>
      </w:rPr>
    </w:lvl>
    <w:lvl w:ilvl="5" w:tplc="B2A88E48">
      <w:start w:val="1"/>
      <w:numFmt w:val="bullet"/>
      <w:lvlText w:val="▪"/>
      <w:lvlJc w:val="left"/>
      <w:pPr>
        <w:ind w:left="4320" w:hanging="360"/>
      </w:pPr>
      <w:rPr>
        <w:rFonts w:hint="default" w:ascii="Noto Sans Symbols" w:hAnsi="Noto Sans Symbols"/>
      </w:rPr>
    </w:lvl>
    <w:lvl w:ilvl="6" w:tplc="D04230AC">
      <w:start w:val="1"/>
      <w:numFmt w:val="bullet"/>
      <w:lvlText w:val="●"/>
      <w:lvlJc w:val="left"/>
      <w:pPr>
        <w:ind w:left="5040" w:hanging="360"/>
      </w:pPr>
      <w:rPr>
        <w:rFonts w:hint="default" w:ascii="Noto Sans Symbols" w:hAnsi="Noto Sans Symbols"/>
      </w:rPr>
    </w:lvl>
    <w:lvl w:ilvl="7" w:tplc="A9A24EAC">
      <w:start w:val="1"/>
      <w:numFmt w:val="bullet"/>
      <w:lvlText w:val="o"/>
      <w:lvlJc w:val="left"/>
      <w:pPr>
        <w:ind w:left="5760" w:hanging="360"/>
      </w:pPr>
      <w:rPr>
        <w:rFonts w:hint="default" w:ascii="Courier New" w:hAnsi="Courier New"/>
      </w:rPr>
    </w:lvl>
    <w:lvl w:ilvl="8" w:tplc="9E827D4A">
      <w:start w:val="1"/>
      <w:numFmt w:val="bullet"/>
      <w:lvlText w:val="▪"/>
      <w:lvlJc w:val="left"/>
      <w:pPr>
        <w:ind w:left="6480" w:hanging="360"/>
      </w:pPr>
      <w:rPr>
        <w:rFonts w:hint="default" w:ascii="Noto Sans Symbols" w:hAnsi="Noto Sans Symbols"/>
      </w:rPr>
    </w:lvl>
  </w:abstractNum>
  <w:abstractNum w:abstractNumId="9" w15:restartNumberingAfterBreak="0">
    <w:nsid w:val="674E6A3F"/>
    <w:multiLevelType w:val="multilevel"/>
    <w:tmpl w:val="B23E721C"/>
    <w:lvl w:ilvl="0">
      <w:start w:val="1"/>
      <w:numFmt w:val="bullet"/>
      <w:lvlRestart w:val="0"/>
      <w:pStyle w:val="EPOBullet1stlevel"/>
      <w:lvlText w:val="§"/>
      <w:lvlJc w:val="left"/>
      <w:pPr>
        <w:tabs>
          <w:tab w:val="num" w:pos="1134"/>
        </w:tabs>
        <w:ind w:left="1134" w:hanging="567"/>
      </w:pPr>
      <w:rPr>
        <w:rFonts w:hint="default" w:ascii="Wingdings" w:hAnsi="Wingdings" w:cs="Arial"/>
      </w:rPr>
    </w:lvl>
    <w:lvl w:ilvl="1">
      <w:start w:val="1"/>
      <w:numFmt w:val="bullet"/>
      <w:lvlText w:val="§"/>
      <w:lvlJc w:val="left"/>
      <w:pPr>
        <w:tabs>
          <w:tab w:val="num" w:pos="1701"/>
        </w:tabs>
        <w:ind w:left="1701" w:hanging="567"/>
      </w:pPr>
      <w:rPr>
        <w:rFonts w:hint="default" w:ascii="Wingdings" w:hAnsi="Wingdings" w:cs="Arial"/>
      </w:rPr>
    </w:lvl>
    <w:lvl w:ilvl="2">
      <w:start w:val="1"/>
      <w:numFmt w:val="bullet"/>
      <w:lvlText w:val="§"/>
      <w:lvlJc w:val="left"/>
      <w:pPr>
        <w:tabs>
          <w:tab w:val="num" w:pos="2268"/>
        </w:tabs>
        <w:ind w:left="2268" w:hanging="567"/>
      </w:pPr>
      <w:rPr>
        <w:rFonts w:hint="default" w:ascii="Wingdings" w:hAnsi="Wingdings" w:cs="Arial"/>
      </w:rPr>
    </w:lvl>
    <w:lvl w:ilvl="3">
      <w:start w:val="1"/>
      <w:numFmt w:val="bullet"/>
      <w:lvlText w:val="§"/>
      <w:lvlJc w:val="left"/>
      <w:pPr>
        <w:tabs>
          <w:tab w:val="num" w:pos="2835"/>
        </w:tabs>
        <w:ind w:left="2835" w:hanging="567"/>
      </w:pPr>
      <w:rPr>
        <w:rFonts w:hint="default" w:ascii="Wingdings" w:hAnsi="Wingdings" w:cs="Arial"/>
      </w:rPr>
    </w:lvl>
    <w:lvl w:ilvl="4">
      <w:start w:val="1"/>
      <w:numFmt w:val="bullet"/>
      <w:lvlText w:val="§"/>
      <w:lvlJc w:val="left"/>
      <w:pPr>
        <w:tabs>
          <w:tab w:val="num" w:pos="3402"/>
        </w:tabs>
        <w:ind w:left="3402" w:hanging="567"/>
      </w:pPr>
      <w:rPr>
        <w:rFonts w:hint="default" w:ascii="Wingdings" w:hAnsi="Wingdings"/>
      </w:rPr>
    </w:lvl>
    <w:lvl w:ilvl="5">
      <w:start w:val="1"/>
      <w:numFmt w:val="bullet"/>
      <w:lvlText w:val="§"/>
      <w:lvlJc w:val="left"/>
      <w:pPr>
        <w:tabs>
          <w:tab w:val="num" w:pos="3969"/>
        </w:tabs>
        <w:ind w:left="3969" w:hanging="567"/>
      </w:pPr>
      <w:rPr>
        <w:rFonts w:hint="default" w:ascii="Wingdings" w:hAnsi="Wingdings"/>
      </w:rPr>
    </w:lvl>
    <w:lvl w:ilvl="6">
      <w:start w:val="1"/>
      <w:numFmt w:val="bullet"/>
      <w:lvlText w:val="§"/>
      <w:lvlJc w:val="left"/>
      <w:pPr>
        <w:tabs>
          <w:tab w:val="num" w:pos="4535"/>
        </w:tabs>
        <w:ind w:left="4535" w:hanging="566"/>
      </w:pPr>
      <w:rPr>
        <w:rFonts w:hint="default" w:ascii="Wingdings" w:hAnsi="Wingdings"/>
      </w:rPr>
    </w:lvl>
    <w:lvl w:ilvl="7">
      <w:start w:val="1"/>
      <w:numFmt w:val="bullet"/>
      <w:lvlText w:val="§"/>
      <w:lvlJc w:val="left"/>
      <w:pPr>
        <w:tabs>
          <w:tab w:val="num" w:pos="5102"/>
        </w:tabs>
        <w:ind w:left="5102" w:hanging="567"/>
      </w:pPr>
      <w:rPr>
        <w:rFonts w:hint="default" w:ascii="Wingdings" w:hAnsi="Wingdings"/>
      </w:rPr>
    </w:lvl>
    <w:lvl w:ilvl="8">
      <w:start w:val="1"/>
      <w:numFmt w:val="bullet"/>
      <w:lvlText w:val="§"/>
      <w:lvlJc w:val="left"/>
      <w:pPr>
        <w:tabs>
          <w:tab w:val="num" w:pos="5669"/>
        </w:tabs>
        <w:ind w:left="5669" w:hanging="567"/>
      </w:pPr>
      <w:rPr>
        <w:rFonts w:hint="default" w:ascii="Wingdings" w:hAnsi="Wingdings"/>
      </w:rPr>
    </w:lvl>
  </w:abstractNum>
  <w:num w:numId="1" w16cid:durableId="1312906422">
    <w:abstractNumId w:val="8"/>
  </w:num>
  <w:num w:numId="2" w16cid:durableId="1196890271">
    <w:abstractNumId w:val="5"/>
  </w:num>
  <w:num w:numId="3" w16cid:durableId="89548913">
    <w:abstractNumId w:val="1"/>
  </w:num>
  <w:num w:numId="4" w16cid:durableId="562326300">
    <w:abstractNumId w:val="7"/>
  </w:num>
  <w:num w:numId="5" w16cid:durableId="300312684">
    <w:abstractNumId w:val="4"/>
  </w:num>
  <w:num w:numId="6" w16cid:durableId="693073921">
    <w:abstractNumId w:val="0"/>
  </w:num>
  <w:num w:numId="7" w16cid:durableId="433866542">
    <w:abstractNumId w:val="9"/>
  </w:num>
  <w:num w:numId="8" w16cid:durableId="1325747140">
    <w:abstractNumId w:val="6"/>
  </w:num>
  <w:num w:numId="9" w16cid:durableId="1572155535">
    <w:abstractNumId w:val="2"/>
  </w:num>
  <w:num w:numId="10" w16cid:durableId="769855253">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664"/>
    <w:rsid w:val="00025A4D"/>
    <w:rsid w:val="0006227C"/>
    <w:rsid w:val="001B6F64"/>
    <w:rsid w:val="001D19B3"/>
    <w:rsid w:val="002410E4"/>
    <w:rsid w:val="0028692D"/>
    <w:rsid w:val="002D3927"/>
    <w:rsid w:val="00325374"/>
    <w:rsid w:val="00351F8E"/>
    <w:rsid w:val="0038294F"/>
    <w:rsid w:val="003D24F5"/>
    <w:rsid w:val="004632D8"/>
    <w:rsid w:val="004743C0"/>
    <w:rsid w:val="004838A0"/>
    <w:rsid w:val="005360FD"/>
    <w:rsid w:val="00583D0A"/>
    <w:rsid w:val="00632EFE"/>
    <w:rsid w:val="006CC469"/>
    <w:rsid w:val="007A4DF3"/>
    <w:rsid w:val="007F4D68"/>
    <w:rsid w:val="00861632"/>
    <w:rsid w:val="00937664"/>
    <w:rsid w:val="00973925"/>
    <w:rsid w:val="009865C2"/>
    <w:rsid w:val="00994ACB"/>
    <w:rsid w:val="009A40E3"/>
    <w:rsid w:val="00A2569D"/>
    <w:rsid w:val="00A5483E"/>
    <w:rsid w:val="00A56AFB"/>
    <w:rsid w:val="00AD67AE"/>
    <w:rsid w:val="00C03F2B"/>
    <w:rsid w:val="00D160A0"/>
    <w:rsid w:val="00E74A46"/>
    <w:rsid w:val="00ED395C"/>
    <w:rsid w:val="00F70219"/>
    <w:rsid w:val="00FF3D65"/>
    <w:rsid w:val="01D9901A"/>
    <w:rsid w:val="020B468D"/>
    <w:rsid w:val="0215EBCC"/>
    <w:rsid w:val="0253FB92"/>
    <w:rsid w:val="02910DDB"/>
    <w:rsid w:val="0329185F"/>
    <w:rsid w:val="0352715A"/>
    <w:rsid w:val="04E490A0"/>
    <w:rsid w:val="0569B450"/>
    <w:rsid w:val="058A3C58"/>
    <w:rsid w:val="05A48EE6"/>
    <w:rsid w:val="05BF5019"/>
    <w:rsid w:val="062B4ECB"/>
    <w:rsid w:val="07B20F5A"/>
    <w:rsid w:val="07D607AD"/>
    <w:rsid w:val="08990804"/>
    <w:rsid w:val="09E931CC"/>
    <w:rsid w:val="0B1AF7E9"/>
    <w:rsid w:val="0BCD04E4"/>
    <w:rsid w:val="0C473ED9"/>
    <w:rsid w:val="0D19F393"/>
    <w:rsid w:val="0D5B9DD8"/>
    <w:rsid w:val="0EB41998"/>
    <w:rsid w:val="0ECA1BB1"/>
    <w:rsid w:val="0F09E926"/>
    <w:rsid w:val="0F0A8489"/>
    <w:rsid w:val="0F1C7416"/>
    <w:rsid w:val="0FED022C"/>
    <w:rsid w:val="0FEFD05D"/>
    <w:rsid w:val="105B223C"/>
    <w:rsid w:val="11095EB2"/>
    <w:rsid w:val="1110AC66"/>
    <w:rsid w:val="1188D28D"/>
    <w:rsid w:val="136FD29B"/>
    <w:rsid w:val="13D5BD11"/>
    <w:rsid w:val="144BE490"/>
    <w:rsid w:val="15429863"/>
    <w:rsid w:val="156F77C5"/>
    <w:rsid w:val="15D384C2"/>
    <w:rsid w:val="16A14D79"/>
    <w:rsid w:val="16E0A89F"/>
    <w:rsid w:val="17762FF6"/>
    <w:rsid w:val="179E170C"/>
    <w:rsid w:val="17CDB905"/>
    <w:rsid w:val="187032C4"/>
    <w:rsid w:val="18E18201"/>
    <w:rsid w:val="194465AF"/>
    <w:rsid w:val="19B86115"/>
    <w:rsid w:val="1A75D83A"/>
    <w:rsid w:val="1B8C8794"/>
    <w:rsid w:val="1C1450E1"/>
    <w:rsid w:val="1C624658"/>
    <w:rsid w:val="1C7D07B4"/>
    <w:rsid w:val="1D036499"/>
    <w:rsid w:val="1D079E11"/>
    <w:rsid w:val="1D47C3CC"/>
    <w:rsid w:val="1D48696D"/>
    <w:rsid w:val="1DAB95AB"/>
    <w:rsid w:val="1DC50CC7"/>
    <w:rsid w:val="1DCE8D40"/>
    <w:rsid w:val="1DDBFC59"/>
    <w:rsid w:val="1DF49D69"/>
    <w:rsid w:val="1E066A25"/>
    <w:rsid w:val="1E089439"/>
    <w:rsid w:val="1E482E53"/>
    <w:rsid w:val="205E66B0"/>
    <w:rsid w:val="206D93EA"/>
    <w:rsid w:val="21569420"/>
    <w:rsid w:val="22E37A4D"/>
    <w:rsid w:val="2333EFBE"/>
    <w:rsid w:val="248AD4C0"/>
    <w:rsid w:val="24AF33A2"/>
    <w:rsid w:val="24CAF421"/>
    <w:rsid w:val="25973BFA"/>
    <w:rsid w:val="26F419A7"/>
    <w:rsid w:val="26FF0412"/>
    <w:rsid w:val="295F9B27"/>
    <w:rsid w:val="2998584D"/>
    <w:rsid w:val="29BA6481"/>
    <w:rsid w:val="29F15C10"/>
    <w:rsid w:val="2A42DCC8"/>
    <w:rsid w:val="2ACE5C5C"/>
    <w:rsid w:val="2AF731DF"/>
    <w:rsid w:val="2B6AD483"/>
    <w:rsid w:val="2C01D174"/>
    <w:rsid w:val="2C3D2765"/>
    <w:rsid w:val="2C8E2D11"/>
    <w:rsid w:val="2CE7E2E6"/>
    <w:rsid w:val="2D1A363A"/>
    <w:rsid w:val="2DD8F7C6"/>
    <w:rsid w:val="2E9FBA76"/>
    <w:rsid w:val="2EB17EEA"/>
    <w:rsid w:val="2EC12610"/>
    <w:rsid w:val="2EC3C0F6"/>
    <w:rsid w:val="2FA91BB7"/>
    <w:rsid w:val="300FB8D1"/>
    <w:rsid w:val="3019D275"/>
    <w:rsid w:val="301DAA76"/>
    <w:rsid w:val="3078D8A9"/>
    <w:rsid w:val="3079C417"/>
    <w:rsid w:val="3134F2C0"/>
    <w:rsid w:val="3206F5C9"/>
    <w:rsid w:val="326D291E"/>
    <w:rsid w:val="326EDD09"/>
    <w:rsid w:val="328EBBBC"/>
    <w:rsid w:val="32D73082"/>
    <w:rsid w:val="32DB50BA"/>
    <w:rsid w:val="334470BD"/>
    <w:rsid w:val="3481F03D"/>
    <w:rsid w:val="34D9AF0C"/>
    <w:rsid w:val="3575CB8A"/>
    <w:rsid w:val="35D2BBE6"/>
    <w:rsid w:val="3697AC1D"/>
    <w:rsid w:val="37823D56"/>
    <w:rsid w:val="38104A80"/>
    <w:rsid w:val="3811F071"/>
    <w:rsid w:val="3833A685"/>
    <w:rsid w:val="38B7D781"/>
    <w:rsid w:val="38D71825"/>
    <w:rsid w:val="39A974C4"/>
    <w:rsid w:val="3A7B9F5A"/>
    <w:rsid w:val="3AC9F350"/>
    <w:rsid w:val="3AF2C89D"/>
    <w:rsid w:val="3B25B099"/>
    <w:rsid w:val="3B52D348"/>
    <w:rsid w:val="3B6AD98D"/>
    <w:rsid w:val="3BAB83A7"/>
    <w:rsid w:val="3BEF0F67"/>
    <w:rsid w:val="3C176FBB"/>
    <w:rsid w:val="3D07E63C"/>
    <w:rsid w:val="3D9D4A44"/>
    <w:rsid w:val="3DB3401C"/>
    <w:rsid w:val="3DFC0545"/>
    <w:rsid w:val="3EB3CBDF"/>
    <w:rsid w:val="3ED1002C"/>
    <w:rsid w:val="3F2DAF26"/>
    <w:rsid w:val="3F6075CF"/>
    <w:rsid w:val="3FC04F1C"/>
    <w:rsid w:val="401BA906"/>
    <w:rsid w:val="40AF2F11"/>
    <w:rsid w:val="40B65B78"/>
    <w:rsid w:val="41474AE8"/>
    <w:rsid w:val="42250719"/>
    <w:rsid w:val="42E5A56C"/>
    <w:rsid w:val="43918174"/>
    <w:rsid w:val="43B8527C"/>
    <w:rsid w:val="44D53CCF"/>
    <w:rsid w:val="44EF7439"/>
    <w:rsid w:val="455CA7DB"/>
    <w:rsid w:val="45BEFA9F"/>
    <w:rsid w:val="4608D003"/>
    <w:rsid w:val="47BB0EF6"/>
    <w:rsid w:val="48C7184A"/>
    <w:rsid w:val="49CED5A8"/>
    <w:rsid w:val="4AC64985"/>
    <w:rsid w:val="4C3CEBAF"/>
    <w:rsid w:val="4C8C87B2"/>
    <w:rsid w:val="4CA73BB7"/>
    <w:rsid w:val="4CD51D66"/>
    <w:rsid w:val="4DD1516C"/>
    <w:rsid w:val="4DD75051"/>
    <w:rsid w:val="4E285813"/>
    <w:rsid w:val="4EA8DFB8"/>
    <w:rsid w:val="503CC792"/>
    <w:rsid w:val="504A562A"/>
    <w:rsid w:val="509EC30A"/>
    <w:rsid w:val="5111FC26"/>
    <w:rsid w:val="512A8577"/>
    <w:rsid w:val="5221DB48"/>
    <w:rsid w:val="538B3176"/>
    <w:rsid w:val="54E3080C"/>
    <w:rsid w:val="55464157"/>
    <w:rsid w:val="556A46A7"/>
    <w:rsid w:val="56765C6E"/>
    <w:rsid w:val="57550177"/>
    <w:rsid w:val="58392CA7"/>
    <w:rsid w:val="592AACE5"/>
    <w:rsid w:val="594AD196"/>
    <w:rsid w:val="59C78F26"/>
    <w:rsid w:val="5AE31706"/>
    <w:rsid w:val="5B187971"/>
    <w:rsid w:val="5B1B3F53"/>
    <w:rsid w:val="5B499E70"/>
    <w:rsid w:val="5B69B01B"/>
    <w:rsid w:val="5BD83AA2"/>
    <w:rsid w:val="5BF48D45"/>
    <w:rsid w:val="5CFD322F"/>
    <w:rsid w:val="5FDAF38E"/>
    <w:rsid w:val="60126AAA"/>
    <w:rsid w:val="60326F83"/>
    <w:rsid w:val="60B275F5"/>
    <w:rsid w:val="60F52622"/>
    <w:rsid w:val="62378ED8"/>
    <w:rsid w:val="6250B735"/>
    <w:rsid w:val="62F2CF3B"/>
    <w:rsid w:val="6348600C"/>
    <w:rsid w:val="64152462"/>
    <w:rsid w:val="644DF6F5"/>
    <w:rsid w:val="64982D75"/>
    <w:rsid w:val="649D43A6"/>
    <w:rsid w:val="656C45C9"/>
    <w:rsid w:val="6713219B"/>
    <w:rsid w:val="672477DE"/>
    <w:rsid w:val="67454029"/>
    <w:rsid w:val="6745AFA3"/>
    <w:rsid w:val="67574CF8"/>
    <w:rsid w:val="67747069"/>
    <w:rsid w:val="67D2DE31"/>
    <w:rsid w:val="6846740F"/>
    <w:rsid w:val="6877F3EB"/>
    <w:rsid w:val="6939423D"/>
    <w:rsid w:val="6973418D"/>
    <w:rsid w:val="6999414A"/>
    <w:rsid w:val="6A1824D2"/>
    <w:rsid w:val="6A42A0BD"/>
    <w:rsid w:val="6AF5A0F0"/>
    <w:rsid w:val="6B61E6FD"/>
    <w:rsid w:val="6C0C9D2B"/>
    <w:rsid w:val="6C52B442"/>
    <w:rsid w:val="6C54BBAD"/>
    <w:rsid w:val="6C6019CF"/>
    <w:rsid w:val="6EDC617B"/>
    <w:rsid w:val="6F8B2F74"/>
    <w:rsid w:val="6FE721BC"/>
    <w:rsid w:val="70D80532"/>
    <w:rsid w:val="711329C7"/>
    <w:rsid w:val="7124B515"/>
    <w:rsid w:val="7148B4D8"/>
    <w:rsid w:val="72107CF6"/>
    <w:rsid w:val="722139AA"/>
    <w:rsid w:val="736DD546"/>
    <w:rsid w:val="737C253D"/>
    <w:rsid w:val="7397410A"/>
    <w:rsid w:val="739F4C55"/>
    <w:rsid w:val="73B1A18A"/>
    <w:rsid w:val="74126CF1"/>
    <w:rsid w:val="74970244"/>
    <w:rsid w:val="759563E2"/>
    <w:rsid w:val="76328139"/>
    <w:rsid w:val="768E1E1B"/>
    <w:rsid w:val="783D8384"/>
    <w:rsid w:val="783FCFFA"/>
    <w:rsid w:val="79165556"/>
    <w:rsid w:val="797D9EB4"/>
    <w:rsid w:val="79B0B719"/>
    <w:rsid w:val="7A28D2A8"/>
    <w:rsid w:val="7B5225CB"/>
    <w:rsid w:val="7B8CC6C8"/>
    <w:rsid w:val="7BAEF393"/>
    <w:rsid w:val="7C22D297"/>
    <w:rsid w:val="7CE71BD1"/>
    <w:rsid w:val="7D133B46"/>
    <w:rsid w:val="7D5EA26A"/>
    <w:rsid w:val="7D7F632E"/>
    <w:rsid w:val="7EA9B636"/>
    <w:rsid w:val="7F979F7E"/>
    <w:rsid w:val="7FB11BA8"/>
    <w:rsid w:val="7FD86781"/>
    <w:rsid w:val="7FFF5EA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F80B2"/>
  <w15:docId w15:val="{71C4D649-B64D-40C2-9932-CFE470F29DA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de-DE"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numPr>
        <w:ilvl w:val="1"/>
        <w:numId w:val="10"/>
      </w:numPr>
      <w:spacing w:before="360" w:after="120"/>
      <w:outlineLvl w:val="1"/>
    </w:pPr>
    <w:rPr>
      <w:sz w:val="32"/>
      <w:szCs w:val="32"/>
    </w:rPr>
  </w:style>
  <w:style w:type="paragraph" w:styleId="Heading3">
    <w:name w:val="heading 3"/>
    <w:basedOn w:val="Normal"/>
    <w:next w:val="Normal"/>
    <w:uiPriority w:val="9"/>
    <w:semiHidden/>
    <w:unhideWhenUsed/>
    <w:qFormat/>
    <w:pPr>
      <w:keepNext/>
      <w:keepLines/>
      <w:numPr>
        <w:ilvl w:val="2"/>
        <w:numId w:val="10"/>
      </w:numP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numPr>
        <w:ilvl w:val="3"/>
        <w:numId w:val="10"/>
      </w:numP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numPr>
        <w:ilvl w:val="4"/>
        <w:numId w:val="10"/>
      </w:numPr>
      <w:spacing w:before="240" w:after="80"/>
      <w:outlineLvl w:val="4"/>
    </w:pPr>
    <w:rPr>
      <w:color w:val="666666"/>
    </w:rPr>
  </w:style>
  <w:style w:type="paragraph" w:styleId="Heading6">
    <w:name w:val="heading 6"/>
    <w:basedOn w:val="Normal"/>
    <w:next w:val="Normal"/>
    <w:uiPriority w:val="9"/>
    <w:semiHidden/>
    <w:unhideWhenUsed/>
    <w:qFormat/>
    <w:pPr>
      <w:keepNext/>
      <w:keepLines/>
      <w:numPr>
        <w:ilvl w:val="5"/>
        <w:numId w:val="10"/>
      </w:numPr>
      <w:spacing w:before="240" w:after="80"/>
      <w:outlineLvl w:val="5"/>
    </w:pPr>
    <w:rPr>
      <w:i/>
      <w:color w:val="666666"/>
    </w:rPr>
  </w:style>
  <w:style w:type="paragraph" w:styleId="Heading7">
    <w:name w:val="heading 7"/>
    <w:basedOn w:val="Normal"/>
    <w:next w:val="Normal"/>
    <w:link w:val="Heading7Char"/>
    <w:uiPriority w:val="9"/>
    <w:semiHidden/>
    <w:unhideWhenUsed/>
    <w:qFormat/>
    <w:rsid w:val="00F70219"/>
    <w:pPr>
      <w:keepNext/>
      <w:keepLines/>
      <w:numPr>
        <w:ilvl w:val="6"/>
        <w:numId w:val="10"/>
      </w:numPr>
      <w:spacing w:before="40"/>
      <w:outlineLvl w:val="6"/>
    </w:pPr>
    <w:rPr>
      <w:rFonts w:asciiTheme="majorHAnsi" w:hAnsiTheme="majorHAnsi" w:eastAsiaTheme="majorEastAsia" w:cstheme="majorBidi"/>
      <w:i/>
      <w:iCs/>
      <w:color w:val="243F60" w:themeColor="accent1" w:themeShade="7F"/>
    </w:rPr>
  </w:style>
  <w:style w:type="paragraph" w:styleId="Heading8">
    <w:name w:val="heading 8"/>
    <w:basedOn w:val="Normal"/>
    <w:next w:val="Normal"/>
    <w:link w:val="Heading8Char"/>
    <w:uiPriority w:val="9"/>
    <w:semiHidden/>
    <w:unhideWhenUsed/>
    <w:qFormat/>
    <w:rsid w:val="00F70219"/>
    <w:pPr>
      <w:keepNext/>
      <w:keepLines/>
      <w:numPr>
        <w:ilvl w:val="7"/>
        <w:numId w:val="10"/>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70219"/>
    <w:pPr>
      <w:keepNext/>
      <w:keepLines/>
      <w:numPr>
        <w:ilvl w:val="8"/>
        <w:numId w:val="10"/>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Pr>
      <w:color w:val="0000FF" w:themeColor="hyperlink"/>
      <w:u w:val="single"/>
    </w:rPr>
  </w:style>
  <w:style w:type="character" w:styleId="CommentReference">
    <w:name w:val="annotation reference"/>
    <w:basedOn w:val="DefaultParagraphFont"/>
    <w:uiPriority w:val="99"/>
    <w:semiHidden/>
    <w:unhideWhenUsed/>
    <w:rsid w:val="002410E4"/>
    <w:rPr>
      <w:sz w:val="16"/>
      <w:szCs w:val="16"/>
    </w:rPr>
  </w:style>
  <w:style w:type="paragraph" w:styleId="CommentText">
    <w:name w:val="annotation text"/>
    <w:basedOn w:val="Normal"/>
    <w:link w:val="CommentTextChar"/>
    <w:uiPriority w:val="99"/>
    <w:unhideWhenUsed/>
    <w:rsid w:val="002410E4"/>
    <w:pPr>
      <w:spacing w:line="240" w:lineRule="auto"/>
    </w:pPr>
    <w:rPr>
      <w:sz w:val="20"/>
      <w:szCs w:val="20"/>
    </w:rPr>
  </w:style>
  <w:style w:type="character" w:styleId="CommentTextChar" w:customStyle="1">
    <w:name w:val="Comment Text Char"/>
    <w:basedOn w:val="DefaultParagraphFont"/>
    <w:link w:val="CommentText"/>
    <w:uiPriority w:val="99"/>
    <w:rsid w:val="002410E4"/>
    <w:rPr>
      <w:sz w:val="20"/>
      <w:szCs w:val="20"/>
    </w:rPr>
  </w:style>
  <w:style w:type="paragraph" w:styleId="CommentSubject">
    <w:name w:val="annotation subject"/>
    <w:basedOn w:val="CommentText"/>
    <w:next w:val="CommentText"/>
    <w:link w:val="CommentSubjectChar"/>
    <w:uiPriority w:val="99"/>
    <w:semiHidden/>
    <w:unhideWhenUsed/>
    <w:rsid w:val="002410E4"/>
    <w:rPr>
      <w:b/>
      <w:bCs/>
    </w:rPr>
  </w:style>
  <w:style w:type="character" w:styleId="CommentSubjectChar" w:customStyle="1">
    <w:name w:val="Comment Subject Char"/>
    <w:basedOn w:val="CommentTextChar"/>
    <w:link w:val="CommentSubject"/>
    <w:uiPriority w:val="99"/>
    <w:semiHidden/>
    <w:rsid w:val="002410E4"/>
    <w:rPr>
      <w:b/>
      <w:bCs/>
      <w:sz w:val="20"/>
      <w:szCs w:val="20"/>
    </w:rPr>
  </w:style>
  <w:style w:type="paragraph" w:styleId="Revision">
    <w:name w:val="Revision"/>
    <w:hidden/>
    <w:uiPriority w:val="99"/>
    <w:semiHidden/>
    <w:rsid w:val="002410E4"/>
    <w:pPr>
      <w:spacing w:line="240" w:lineRule="auto"/>
    </w:pPr>
  </w:style>
  <w:style w:type="character" w:styleId="FollowedHyperlink">
    <w:name w:val="FollowedHyperlink"/>
    <w:basedOn w:val="DefaultParagraphFont"/>
    <w:uiPriority w:val="99"/>
    <w:semiHidden/>
    <w:unhideWhenUsed/>
    <w:rsid w:val="009865C2"/>
    <w:rPr>
      <w:color w:val="800080" w:themeColor="followedHyperlink"/>
      <w:u w:val="single"/>
    </w:rPr>
  </w:style>
  <w:style w:type="character" w:styleId="Mention">
    <w:name w:val="Mention"/>
    <w:basedOn w:val="DefaultParagraphFont"/>
    <w:uiPriority w:val="99"/>
    <w:unhideWhenUsed/>
    <w:rPr>
      <w:color w:val="2B579A"/>
      <w:shd w:val="clear" w:color="auto" w:fill="E6E6E6"/>
    </w:rPr>
  </w:style>
  <w:style w:type="paragraph" w:styleId="Normal0" w:customStyle="1">
    <w:name w:val="Normal0"/>
    <w:basedOn w:val="Normal"/>
    <w:uiPriority w:val="1"/>
    <w:qFormat/>
    <w:rsid w:val="2998584D"/>
  </w:style>
  <w:style w:type="paragraph" w:styleId="EPONormal" w:customStyle="1">
    <w:name w:val="EPO Normal"/>
    <w:qFormat/>
    <w:rsid w:val="00F70219"/>
    <w:pPr>
      <w:spacing w:line="287" w:lineRule="auto"/>
      <w:jc w:val="both"/>
    </w:pPr>
  </w:style>
  <w:style w:type="paragraph" w:styleId="EPOSubheading11pt" w:customStyle="1">
    <w:name w:val="EPO Subheading 11pt"/>
    <w:next w:val="EPONormal"/>
    <w:qFormat/>
    <w:rsid w:val="00F70219"/>
    <w:pPr>
      <w:keepNext/>
      <w:spacing w:before="220" w:after="220" w:line="287" w:lineRule="auto"/>
    </w:pPr>
    <w:rPr>
      <w:b/>
    </w:rPr>
  </w:style>
  <w:style w:type="paragraph" w:styleId="EPOFootnote" w:customStyle="1">
    <w:name w:val="EPO Footnote"/>
    <w:qFormat/>
    <w:rsid w:val="00F70219"/>
    <w:pPr>
      <w:spacing w:line="287" w:lineRule="auto"/>
      <w:jc w:val="both"/>
    </w:pPr>
    <w:rPr>
      <w:sz w:val="16"/>
    </w:rPr>
  </w:style>
  <w:style w:type="paragraph" w:styleId="EPOFooter" w:customStyle="1">
    <w:name w:val="EPO Footer"/>
    <w:qFormat/>
    <w:rsid w:val="00F70219"/>
    <w:pPr>
      <w:spacing w:line="287" w:lineRule="auto"/>
    </w:pPr>
    <w:rPr>
      <w:sz w:val="16"/>
    </w:rPr>
  </w:style>
  <w:style w:type="paragraph" w:styleId="EPOHeader" w:customStyle="1">
    <w:name w:val="EPO Header"/>
    <w:qFormat/>
    <w:rsid w:val="00F70219"/>
    <w:pPr>
      <w:spacing w:line="287" w:lineRule="auto"/>
    </w:pPr>
    <w:rPr>
      <w:sz w:val="16"/>
    </w:rPr>
  </w:style>
  <w:style w:type="paragraph" w:styleId="EPOSubheading14pt" w:customStyle="1">
    <w:name w:val="EPO Subheading 14pt"/>
    <w:next w:val="EPONormal"/>
    <w:qFormat/>
    <w:rsid w:val="00F70219"/>
    <w:pPr>
      <w:keepNext/>
      <w:spacing w:before="220" w:after="220" w:line="287" w:lineRule="auto"/>
    </w:pPr>
    <w:rPr>
      <w:b/>
      <w:sz w:val="28"/>
    </w:rPr>
  </w:style>
  <w:style w:type="paragraph" w:styleId="EPOAnnex" w:customStyle="1">
    <w:name w:val="EPO Annex"/>
    <w:next w:val="EPONormal"/>
    <w:qFormat/>
    <w:rsid w:val="00F70219"/>
    <w:pPr>
      <w:pageBreakBefore/>
      <w:numPr>
        <w:numId w:val="2"/>
      </w:numPr>
      <w:tabs>
        <w:tab w:val="clear" w:pos="567"/>
        <w:tab w:val="left" w:pos="1417"/>
      </w:tabs>
      <w:spacing w:after="220" w:line="287" w:lineRule="auto"/>
      <w:ind w:left="1417" w:hanging="1417"/>
    </w:pPr>
    <w:rPr>
      <w:b/>
      <w:sz w:val="28"/>
    </w:rPr>
  </w:style>
  <w:style w:type="character" w:styleId="Heading7Char" w:customStyle="1">
    <w:name w:val="Heading 7 Char"/>
    <w:basedOn w:val="DefaultParagraphFont"/>
    <w:link w:val="Heading7"/>
    <w:uiPriority w:val="9"/>
    <w:semiHidden/>
    <w:rsid w:val="00F70219"/>
    <w:rPr>
      <w:rFonts w:asciiTheme="majorHAnsi" w:hAnsiTheme="majorHAnsi" w:eastAsiaTheme="majorEastAsia" w:cstheme="majorBidi"/>
      <w:i/>
      <w:iCs/>
      <w:color w:val="243F60" w:themeColor="accent1" w:themeShade="7F"/>
    </w:rPr>
  </w:style>
  <w:style w:type="character" w:styleId="Heading8Char" w:customStyle="1">
    <w:name w:val="Heading 8 Char"/>
    <w:basedOn w:val="DefaultParagraphFont"/>
    <w:link w:val="Heading8"/>
    <w:uiPriority w:val="9"/>
    <w:semiHidden/>
    <w:rsid w:val="00F70219"/>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F70219"/>
    <w:rPr>
      <w:rFonts w:asciiTheme="majorHAnsi" w:hAnsiTheme="majorHAnsi" w:eastAsiaTheme="majorEastAsia" w:cstheme="majorBidi"/>
      <w:i/>
      <w:iCs/>
      <w:color w:val="272727" w:themeColor="text1" w:themeTint="D8"/>
      <w:sz w:val="21"/>
      <w:szCs w:val="21"/>
    </w:rPr>
  </w:style>
  <w:style w:type="paragraph" w:styleId="EPOTitle1-25pt" w:customStyle="1">
    <w:name w:val="EPO Title 1 - 25pt"/>
    <w:next w:val="EPONormal"/>
    <w:qFormat/>
    <w:rsid w:val="00F70219"/>
    <w:pPr>
      <w:spacing w:after="220" w:line="287" w:lineRule="auto"/>
    </w:pPr>
    <w:rPr>
      <w:b/>
      <w:sz w:val="50"/>
    </w:rPr>
  </w:style>
  <w:style w:type="paragraph" w:styleId="EPOTitle2-18pt" w:customStyle="1">
    <w:name w:val="EPO Title 2 - 18pt"/>
    <w:next w:val="EPONormal"/>
    <w:qFormat/>
    <w:rsid w:val="00F70219"/>
    <w:pPr>
      <w:spacing w:after="220" w:line="287" w:lineRule="auto"/>
    </w:pPr>
    <w:rPr>
      <w:b/>
      <w:sz w:val="36"/>
    </w:rPr>
  </w:style>
  <w:style w:type="paragraph" w:styleId="EPOHeading1" w:customStyle="1">
    <w:name w:val="EPO Heading 1"/>
    <w:next w:val="EPONormal"/>
    <w:qFormat/>
    <w:rsid w:val="00F70219"/>
    <w:pPr>
      <w:keepNext/>
      <w:numPr>
        <w:numId w:val="6"/>
      </w:numPr>
      <w:spacing w:before="220" w:after="220" w:line="287" w:lineRule="auto"/>
      <w:outlineLvl w:val="0"/>
    </w:pPr>
    <w:rPr>
      <w:b/>
      <w:sz w:val="28"/>
    </w:rPr>
  </w:style>
  <w:style w:type="paragraph" w:styleId="EPOHeading2" w:customStyle="1">
    <w:name w:val="EPO Heading 2"/>
    <w:next w:val="EPONormal"/>
    <w:qFormat/>
    <w:rsid w:val="00F70219"/>
    <w:pPr>
      <w:keepNext/>
      <w:numPr>
        <w:ilvl w:val="1"/>
        <w:numId w:val="6"/>
      </w:numPr>
      <w:spacing w:before="220" w:after="220" w:line="287" w:lineRule="auto"/>
      <w:outlineLvl w:val="1"/>
    </w:pPr>
    <w:rPr>
      <w:b/>
      <w:sz w:val="24"/>
    </w:rPr>
  </w:style>
  <w:style w:type="paragraph" w:styleId="EPOHeading3" w:customStyle="1">
    <w:name w:val="EPO Heading 3"/>
    <w:next w:val="EPONormal"/>
    <w:qFormat/>
    <w:rsid w:val="00F70219"/>
    <w:pPr>
      <w:keepNext/>
      <w:numPr>
        <w:ilvl w:val="2"/>
        <w:numId w:val="6"/>
      </w:numPr>
      <w:spacing w:before="220" w:after="220" w:line="287" w:lineRule="auto"/>
      <w:outlineLvl w:val="2"/>
    </w:pPr>
    <w:rPr>
      <w:b/>
    </w:rPr>
  </w:style>
  <w:style w:type="paragraph" w:styleId="EPOHeading4" w:customStyle="1">
    <w:name w:val="EPO Heading 4"/>
    <w:next w:val="EPONormal"/>
    <w:qFormat/>
    <w:rsid w:val="00F70219"/>
    <w:pPr>
      <w:keepNext/>
      <w:numPr>
        <w:ilvl w:val="3"/>
        <w:numId w:val="6"/>
      </w:numPr>
      <w:spacing w:before="220" w:after="220" w:line="287" w:lineRule="auto"/>
      <w:outlineLvl w:val="3"/>
    </w:pPr>
    <w:rPr>
      <w:b/>
    </w:rPr>
  </w:style>
  <w:style w:type="paragraph" w:styleId="EPOBullet1stlevel" w:customStyle="1">
    <w:name w:val="EPO Bullet 1st level"/>
    <w:qFormat/>
    <w:rsid w:val="00F70219"/>
    <w:pPr>
      <w:numPr>
        <w:numId w:val="7"/>
      </w:numPr>
      <w:tabs>
        <w:tab w:val="clear" w:pos="1134"/>
      </w:tabs>
      <w:spacing w:line="287" w:lineRule="auto"/>
      <w:ind w:left="397" w:hanging="397"/>
      <w:jc w:val="both"/>
    </w:pPr>
  </w:style>
  <w:style w:type="paragraph" w:styleId="EPOBullet2ndlevel" w:customStyle="1">
    <w:name w:val="EPO Bullet 2nd level"/>
    <w:qFormat/>
    <w:rsid w:val="00F70219"/>
    <w:pPr>
      <w:numPr>
        <w:numId w:val="8"/>
      </w:numPr>
      <w:tabs>
        <w:tab w:val="clear" w:pos="1701"/>
      </w:tabs>
      <w:spacing w:line="287" w:lineRule="auto"/>
      <w:ind w:left="794" w:hanging="397"/>
      <w:jc w:val="both"/>
    </w:pPr>
  </w:style>
  <w:style w:type="paragraph" w:styleId="EPOList-numbers" w:customStyle="1">
    <w:name w:val="EPO List - numbers"/>
    <w:qFormat/>
    <w:rsid w:val="00F70219"/>
    <w:pPr>
      <w:numPr>
        <w:numId w:val="9"/>
      </w:numPr>
      <w:tabs>
        <w:tab w:val="left" w:pos="397"/>
      </w:tabs>
      <w:spacing w:line="287" w:lineRule="auto"/>
      <w:jc w:val="both"/>
    </w:pPr>
  </w:style>
  <w:style w:type="paragraph" w:styleId="EPOList-letters" w:customStyle="1">
    <w:name w:val="EPO List - letters"/>
    <w:qFormat/>
    <w:rsid w:val="00F70219"/>
    <w:pPr>
      <w:numPr>
        <w:numId w:val="10"/>
      </w:numPr>
      <w:tabs>
        <w:tab w:val="left" w:pos="397"/>
      </w:tabs>
      <w:spacing w:line="287" w:lineRule="auto"/>
      <w:jc w:val="both"/>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customXml" Target="../customXml/item3.xml" Id="rId3" /><Relationship Type="http://schemas.openxmlformats.org/officeDocument/2006/relationships/numbering" Target="numbering.xml" Id="rId7"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customXml" Target="../customXml/item5.xml" Id="rId5" /><Relationship Type="http://schemas.openxmlformats.org/officeDocument/2006/relationships/fontTable" Target="fontTable.xml" Id="rId15" /><Relationship Type="http://schemas.openxmlformats.org/officeDocument/2006/relationships/webSettings" Target="webSettings.xml" Id="rId10"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yperlink" Target="https://www.epo.org/de/news-events/european-inventor-award/meet-the-finalists/khaoula-ben-ahmed-ghofrane-ayari-souleima?mtm_campaign=EIA2024&amp;mtm_keyword=pressrelease&amp;mtm_medium=press" TargetMode="External" Id="R6214867e3ebf4abe" /><Relationship Type="http://schemas.openxmlformats.org/officeDocument/2006/relationships/hyperlink" Target="mailto:press@epo.org" TargetMode="External" Id="R518b0e1628b842fd" /><Relationship Type="http://schemas.openxmlformats.org/officeDocument/2006/relationships/hyperlink" Target="https://www.epo.org/de/news-events/european-inventor-award/categories-and-prizes" TargetMode="External" Id="R7f9983c9e2cf405b" /><Relationship Type="http://schemas.openxmlformats.org/officeDocument/2006/relationships/hyperlink" Target="https://www.epo.org/de/news-events/european-inventor-award" TargetMode="External" Id="R1a109d1c72f146c3" /><Relationship Type="http://schemas.openxmlformats.org/officeDocument/2006/relationships/hyperlink" Target="https://www.epo.org/de/?mtm_campaign=EIA2024&amp;mtm_keyword=pressrelease&amp;mtm_medium=press" TargetMode="External" Id="Rff2f30609cf04bc7" /><Relationship Type="http://schemas.openxmlformats.org/officeDocument/2006/relationships/header" Target="header.xml" Id="Rbfc24908fe5f42b3" /><Relationship Type="http://schemas.openxmlformats.org/officeDocument/2006/relationships/footer" Target="footer.xml" Id="Rf7eaae32e16847bd" /><Relationship Type="http://schemas.openxmlformats.org/officeDocument/2006/relationships/hyperlink" Target="https://www.who.int/publications/i/item/9789240074521" TargetMode="External" Id="R309a7b790b5f4a44" /><Relationship Type="http://schemas.openxmlformats.org/officeDocument/2006/relationships/hyperlink" Target="https://www.epo.org/de/news-events/european-inventor-award/streaming?mtm_campaign=EIA2024&amp;mtm_keyword=pressrelease&amp;mtm_medium=press" TargetMode="External" Id="Rf0ab11e5f20c496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xml.rels>&#65279;<?xml version="1.0" encoding="utf-8"?><Relationships xmlns="http://schemas.openxmlformats.org/package/2006/relationships"><Relationship Type="http://schemas.openxmlformats.org/officeDocument/2006/relationships/image" Target="/media/image.png" Id="Rf239fedd2045424f" /><Relationship Type="http://schemas.openxmlformats.org/officeDocument/2006/relationships/image" Target="/media/image2.png" Id="Rb9d03c75713a438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TAS0-850928080-102165</_dlc_DocId>
    <_dlc_DocIdUrl xmlns="f2e99cb4-f4f9-415e-b3d9-1292be195fdc">
      <Url>https://byblos2019.internal.epo.org/sites/TAS/_layouts/15/DocIdRedir.aspx?ID=TAS0-850928080-102165</Url>
      <Description>TAS0-850928080-102165</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6a2087d8a798ac184d75514626af6db0">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e71387e9d4f639189bd694c462f23f5a"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uhiVj5l9LR/co2/il8Xgc8xOZA==">CgMxLjA4AHIhMThXbjl4QlNIcURuRGZVWkd3STY3cG9JcVdzT191MHNW</go:docsCustomData>
</go:gDocsCustomXmlDataStorag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9fe85f9d-14b9-4f9c-9861-ae262a00135d" ContentTypeId="0x0101004B4BAD3DDDE0F84A8E56A09DD9B2FAD7" PreviousValue="false"/>
</file>

<file path=customXml/itemProps1.xml><?xml version="1.0" encoding="utf-8"?>
<ds:datastoreItem xmlns:ds="http://schemas.openxmlformats.org/officeDocument/2006/customXml" ds:itemID="{6AAA3A3D-788C-45E5-A769-D371BCF6F388}">
  <ds:schemaRefs>
    <ds:schemaRef ds:uri="http://purl.org/dc/elements/1.1/"/>
    <ds:schemaRef ds:uri="http://schemas.microsoft.com/office/2006/metadata/properties"/>
    <ds:schemaRef ds:uri="http://purl.org/dc/terms/"/>
    <ds:schemaRef ds:uri="http://schemas.openxmlformats.org/package/2006/metadata/core-properties"/>
    <ds:schemaRef ds:uri="c19017b9-b632-4fd7-b272-8e1706ce9985"/>
    <ds:schemaRef ds:uri="http://schemas.microsoft.com/office/2006/documentManagement/types"/>
    <ds:schemaRef ds:uri="http://schemas.microsoft.com/office/infopath/2007/PartnerControls"/>
    <ds:schemaRef ds:uri="http://schemas.microsoft.com/sharepoint/v3/fields"/>
    <ds:schemaRef ds:uri="f2e99cb4-f4f9-415e-b3d9-1292be195fdc"/>
    <ds:schemaRef ds:uri="http://www.w3.org/XML/1998/namespace"/>
    <ds:schemaRef ds:uri="http://purl.org/dc/dcmitype/"/>
  </ds:schemaRefs>
</ds:datastoreItem>
</file>

<file path=customXml/itemProps2.xml><?xml version="1.0" encoding="utf-8"?>
<ds:datastoreItem xmlns:ds="http://schemas.openxmlformats.org/officeDocument/2006/customXml" ds:itemID="{DAF11068-D8A9-47CB-978E-735F22A61B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99cb4-f4f9-415e-b3d9-1292be195fdc"/>
    <ds:schemaRef ds:uri="http://schemas.microsoft.com/sharepoint/v3/fields"/>
    <ds:schemaRef ds:uri="c19017b9-b632-4fd7-b272-8e1706ce9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458A90-D231-4FAF-977F-1E0DEE93C526}">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www.w3.org/2000/xmlns/"/>
    <ds:schemaRef ds:uri="http://schemas.openxmlformats.org/officeDocument/2006/relationships"/>
  </ds:schemaRefs>
</ds:datastoreItem>
</file>

<file path=customXml/itemProps5.xml><?xml version="1.0" encoding="utf-8"?>
<ds:datastoreItem xmlns:ds="http://schemas.openxmlformats.org/officeDocument/2006/customXml" ds:itemID="{D36FCD78-0AB6-482F-8D57-4325344E7996}">
  <ds:schemaRefs>
    <ds:schemaRef ds:uri="http://schemas.microsoft.com/sharepoint/events"/>
  </ds:schemaRefs>
</ds:datastoreItem>
</file>

<file path=customXml/itemProps6.xml><?xml version="1.0" encoding="utf-8"?>
<ds:datastoreItem xmlns:ds="http://schemas.openxmlformats.org/officeDocument/2006/customXml" ds:itemID="{3C6E58EA-1247-444C-AE0E-5A6FC54CA6A0}">
  <ds:schemaRefs>
    <ds:schemaRef ds:uri="Microsoft.SharePoint.Taxonomy.ContentTypeSync"/>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lastModifiedBy>Sophie Rasbash (External)</lastModifiedBy>
  <revision>37</revision>
  <dcterms:created xsi:type="dcterms:W3CDTF">2024-04-09T08:12:00.0000000Z</dcterms:created>
  <dcterms:modified xsi:type="dcterms:W3CDTF">2024-05-29T08:30:09.2149668Z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0x0101004B4BAD3DDDE0F84A8E56A09DD9B2FAD700589673E0CE02EC4FA69E3DADD58EC854</vt:lpwstr>
  </property>
  <property fmtid="{D5CDD505-2E9C-101B-9397-08002B2CF9AE}" pid="3" name="_dlc_DocIdItemGuid">
    <vt:lpwstr>239ac812-b683-4e8f-bdea-eb7ce3ef9234</vt:lpwstr>
  </property>
  <property fmtid="{D5CDD505-2E9C-101B-9397-08002B2CF9AE}" pid="4" name="EpoCoverage">
    <vt:lpwstr/>
  </property>
  <property fmtid="{D5CDD505-2E9C-101B-9397-08002B2CF9AE}" pid="5" name="EpoCategory">
    <vt:lpwstr/>
  </property>
  <property fmtid="{D5CDD505-2E9C-101B-9397-08002B2CF9AE}" pid="6" name="EpoLanguage">
    <vt:lpwstr/>
  </property>
  <property fmtid="{D5CDD505-2E9C-101B-9397-08002B2CF9AE}" pid="7" name="EpoPublisher">
    <vt:lpwstr/>
  </property>
</Properties>
</file>