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29E6" w:rsidRDefault="00743D6C" w14:paraId="00000002" w14:textId="06972266">
      <w:pPr>
        <w:rPr>
          <w:b/>
          <w:color w:val="FF0000"/>
          <w:sz w:val="32"/>
          <w:szCs w:val="32"/>
        </w:rPr>
      </w:pPr>
      <w:r>
        <w:rPr>
          <w:noProof/>
        </w:rPr>
        <w:drawing>
          <wp:anchor distT="0" distB="0" distL="114300" distR="114300" simplePos="0" relativeHeight="251658240" behindDoc="0" locked="0" layoutInCell="1" hidden="0" allowOverlap="1" wp14:anchorId="01D58314" wp14:editId="77123CDA">
            <wp:simplePos x="0" y="0"/>
            <wp:positionH relativeFrom="column">
              <wp:posOffset>-54609</wp:posOffset>
            </wp:positionH>
            <wp:positionV relativeFrom="paragraph">
              <wp:posOffset>-86994</wp:posOffset>
            </wp:positionV>
            <wp:extent cx="1494790" cy="750570"/>
            <wp:effectExtent l="0" t="0" r="0" b="0"/>
            <wp:wrapSquare wrapText="right" distT="0" distB="0" distL="114300" distR="114300"/>
            <wp:docPr id="14" name="Picture 14" descr="Logo European Patent Office"/>
            <wp:cNvGraphicFramePr/>
            <a:graphic xmlns:a="http://schemas.openxmlformats.org/drawingml/2006/main">
              <a:graphicData uri="http://schemas.openxmlformats.org/drawingml/2006/picture">
                <pic:pic xmlns:pic="http://schemas.openxmlformats.org/drawingml/2006/picture">
                  <pic:nvPicPr>
                    <pic:cNvPr id="0" name="image1.png" descr="Logo European Patent Office"/>
                    <pic:cNvPicPr preferRelativeResize="0"/>
                  </pic:nvPicPr>
                  <pic:blipFill>
                    <a:blip r:embed="rId14"/>
                    <a:srcRect/>
                    <a:stretch>
                      <a:fillRect/>
                    </a:stretch>
                  </pic:blipFill>
                  <pic:spPr>
                    <a:xfrm>
                      <a:off x="0" y="0"/>
                      <a:ext cx="1494790" cy="750570"/>
                    </a:xfrm>
                    <a:prstGeom prst="rect">
                      <a:avLst/>
                    </a:prstGeom>
                    <a:ln/>
                  </pic:spPr>
                </pic:pic>
              </a:graphicData>
            </a:graphic>
          </wp:anchor>
        </w:drawing>
      </w:r>
    </w:p>
    <w:p w:rsidR="00FB055D" w:rsidP="00F5F070" w:rsidRDefault="00FB055D" w14:paraId="61D69823" w14:noSpellErr="1" w14:textId="27EAF877">
      <w:pPr>
        <w:pStyle w:val="Normal"/>
        <w:rPr>
          <w:b w:val="1"/>
          <w:bCs w:val="1"/>
          <w:color w:val="FF0000"/>
          <w:sz w:val="32"/>
          <w:szCs w:val="32"/>
        </w:rPr>
      </w:pPr>
    </w:p>
    <w:p w:rsidR="009229E6" w:rsidP="00F5F070" w:rsidRDefault="00743D6C" w14:paraId="00000006" w14:textId="793925F5">
      <w:pPr>
        <w:pStyle w:val="Normal"/>
        <w:jc w:val="right"/>
        <w:rPr>
          <w:b w:val="1"/>
          <w:bCs w:val="1"/>
          <w:sz w:val="32"/>
          <w:szCs w:val="32"/>
        </w:rPr>
      </w:pPr>
      <w:r w:rsidRPr="00F5F070" w:rsidR="00743D6C">
        <w:rPr>
          <w:b w:val="1"/>
          <w:bCs w:val="1"/>
          <w:sz w:val="32"/>
          <w:szCs w:val="32"/>
        </w:rPr>
        <w:t>PRESSEMITTEILUNG</w:t>
      </w:r>
    </w:p>
    <w:p w:rsidR="009229E6" w:rsidP="4FB3ADFC" w:rsidRDefault="009229E6" w14:paraId="00000007" w14:textId="2C792E48">
      <w:pPr>
        <w:jc w:val="both"/>
        <w:rPr>
          <w:b/>
          <w:bCs/>
          <w:sz w:val="32"/>
          <w:szCs w:val="32"/>
        </w:rPr>
      </w:pPr>
    </w:p>
    <w:p w:rsidRPr="00B11974" w:rsidR="00966691" w:rsidP="00D42413" w:rsidRDefault="4F2E1539" w14:paraId="5F5321AF" w14:textId="14877AE6">
      <w:pPr>
        <w:jc w:val="center"/>
        <w:rPr>
          <w:b/>
          <w:bCs/>
          <w:color w:val="000000" w:themeColor="text1"/>
          <w:sz w:val="32"/>
          <w:szCs w:val="32"/>
        </w:rPr>
      </w:pPr>
      <w:bookmarkStart w:name="_Hlk128552478" w:id="0"/>
      <w:r w:rsidRPr="1F437EA8">
        <w:rPr>
          <w:b/>
          <w:bCs/>
          <w:sz w:val="32"/>
          <w:szCs w:val="32"/>
        </w:rPr>
        <w:t>Europäische Patentanmeldungen 2024: Stabil trotz globaler Herausforderungen</w:t>
      </w:r>
    </w:p>
    <w:p w:rsidR="1F437EA8" w:rsidP="1F437EA8" w:rsidRDefault="1F437EA8" w14:paraId="7AD8996D" w14:textId="1A4624E0">
      <w:pPr>
        <w:jc w:val="both"/>
        <w:rPr>
          <w:b/>
          <w:bCs/>
          <w:sz w:val="32"/>
          <w:szCs w:val="32"/>
        </w:rPr>
      </w:pPr>
      <w:bookmarkStart w:name="_Hlk161216452" w:id="1"/>
      <w:bookmarkEnd w:id="0"/>
    </w:p>
    <w:p w:rsidRPr="00020959" w:rsidR="000D69C5" w:rsidP="009462AE" w:rsidRDefault="003B3955" w14:paraId="6D8DC850" w14:textId="709EAB2D">
      <w:pPr>
        <w:pStyle w:val="ListParagraph"/>
        <w:numPr>
          <w:ilvl w:val="0"/>
          <w:numId w:val="6"/>
        </w:numPr>
        <w:jc w:val="both"/>
        <w:rPr>
          <w:b/>
          <w:bCs/>
          <w:sz w:val="22"/>
          <w:szCs w:val="22"/>
        </w:rPr>
      </w:pPr>
      <w:r>
        <w:rPr>
          <w:b/>
          <w:bCs/>
          <w:sz w:val="22"/>
          <w:szCs w:val="22"/>
        </w:rPr>
        <w:t>Das</w:t>
      </w:r>
      <w:r w:rsidRPr="552BD527">
        <w:rPr>
          <w:b/>
          <w:bCs/>
          <w:sz w:val="22"/>
          <w:szCs w:val="22"/>
        </w:rPr>
        <w:t xml:space="preserve"> </w:t>
      </w:r>
      <w:r w:rsidRPr="552BD527" w:rsidR="510FED7E">
        <w:rPr>
          <w:b/>
          <w:bCs/>
          <w:sz w:val="22"/>
          <w:szCs w:val="22"/>
        </w:rPr>
        <w:t xml:space="preserve">Europäische Patentamt </w:t>
      </w:r>
      <w:r>
        <w:rPr>
          <w:b/>
          <w:bCs/>
          <w:sz w:val="22"/>
          <w:szCs w:val="22"/>
        </w:rPr>
        <w:t>verzeichnet für</w:t>
      </w:r>
      <w:r w:rsidRPr="552BD527">
        <w:rPr>
          <w:b/>
          <w:bCs/>
          <w:sz w:val="22"/>
          <w:szCs w:val="22"/>
        </w:rPr>
        <w:t xml:space="preserve"> </w:t>
      </w:r>
      <w:r w:rsidRPr="552BD527" w:rsidR="017B5FC1">
        <w:rPr>
          <w:b/>
          <w:bCs/>
          <w:sz w:val="22"/>
          <w:szCs w:val="22"/>
        </w:rPr>
        <w:t>2024</w:t>
      </w:r>
      <w:r w:rsidRPr="552BD527" w:rsidR="510FED7E">
        <w:rPr>
          <w:b/>
          <w:bCs/>
          <w:sz w:val="22"/>
          <w:szCs w:val="22"/>
        </w:rPr>
        <w:t xml:space="preserve"> </w:t>
      </w:r>
      <w:hyperlink w:history="1" r:id="rId15">
        <w:r w:rsidRPr="00020959" w:rsidR="007D63F2">
          <w:rPr>
            <w:rStyle w:val="Hyperlink"/>
            <w:b/>
            <w:bCs/>
            <w:color w:val="auto"/>
            <w:sz w:val="22"/>
            <w:szCs w:val="22"/>
            <w:u w:val="none"/>
          </w:rPr>
          <w:t xml:space="preserve">rund </w:t>
        </w:r>
        <w:r w:rsidRPr="00020959" w:rsidR="510FED7E">
          <w:rPr>
            <w:rStyle w:val="Hyperlink"/>
            <w:b/>
            <w:bCs/>
            <w:color w:val="auto"/>
            <w:sz w:val="22"/>
            <w:szCs w:val="22"/>
            <w:u w:val="none"/>
          </w:rPr>
          <w:t>200 000 Patentanmeldungen</w:t>
        </w:r>
      </w:hyperlink>
    </w:p>
    <w:p w:rsidRPr="00020959" w:rsidR="000D69C5" w:rsidP="009462AE" w:rsidRDefault="510FED7E" w14:paraId="734A9321" w14:textId="0A318568">
      <w:pPr>
        <w:pStyle w:val="ListParagraph"/>
        <w:numPr>
          <w:ilvl w:val="0"/>
          <w:numId w:val="6"/>
        </w:numPr>
        <w:jc w:val="both"/>
        <w:rPr>
          <w:b/>
          <w:bCs/>
          <w:sz w:val="22"/>
          <w:szCs w:val="22"/>
        </w:rPr>
      </w:pPr>
      <w:r w:rsidRPr="00020959">
        <w:rPr>
          <w:b/>
          <w:bCs/>
          <w:sz w:val="22"/>
          <w:szCs w:val="22"/>
        </w:rPr>
        <w:t>Computertechnologien erstmal</w:t>
      </w:r>
      <w:r w:rsidRPr="00020959" w:rsidR="573704D1">
        <w:rPr>
          <w:b/>
          <w:bCs/>
          <w:sz w:val="22"/>
          <w:szCs w:val="22"/>
        </w:rPr>
        <w:t>s an der Spitze der Patentanmeldungen</w:t>
      </w:r>
    </w:p>
    <w:p w:rsidRPr="00020959" w:rsidR="2A8761C7" w:rsidP="00F5F070" w:rsidRDefault="2D5DA583" w14:paraId="4FE55811" w14:textId="159F4B6E" w14:noSpellErr="1">
      <w:pPr>
        <w:pStyle w:val="ListParagraph"/>
        <w:numPr>
          <w:ilvl w:val="0"/>
          <w:numId w:val="6"/>
        </w:numPr>
        <w:jc w:val="left"/>
        <w:rPr>
          <w:b w:val="1"/>
          <w:bCs w:val="1"/>
          <w:sz w:val="22"/>
          <w:szCs w:val="22"/>
        </w:rPr>
      </w:pPr>
      <w:r w:rsidRPr="00F5F070" w:rsidR="2D5DA583">
        <w:rPr>
          <w:b w:val="1"/>
          <w:bCs w:val="1"/>
          <w:sz w:val="22"/>
          <w:szCs w:val="22"/>
        </w:rPr>
        <w:t>Patentanmeldungen für KI- und Batterietechnologien</w:t>
      </w:r>
      <w:r w:rsidRPr="00F5F070" w:rsidR="003B3955">
        <w:rPr>
          <w:b w:val="1"/>
          <w:bCs w:val="1"/>
          <w:sz w:val="22"/>
          <w:szCs w:val="22"/>
        </w:rPr>
        <w:t xml:space="preserve"> steigen deutlich an</w:t>
      </w:r>
    </w:p>
    <w:p w:rsidRPr="00EB23AF" w:rsidR="000D69C5" w:rsidP="009462AE" w:rsidRDefault="510FED7E" w14:paraId="62C502BA" w14:textId="1B1E49AC">
      <w:pPr>
        <w:numPr>
          <w:ilvl w:val="0"/>
          <w:numId w:val="6"/>
        </w:numPr>
        <w:jc w:val="both"/>
        <w:rPr>
          <w:b/>
          <w:bCs/>
        </w:rPr>
      </w:pPr>
      <w:r w:rsidRPr="00020959">
        <w:rPr>
          <w:b/>
          <w:bCs/>
          <w:sz w:val="22"/>
          <w:szCs w:val="22"/>
        </w:rPr>
        <w:t>USA, Deutschland, Japan,</w:t>
      </w:r>
      <w:r w:rsidRPr="1F437EA8">
        <w:rPr>
          <w:b/>
          <w:bCs/>
          <w:sz w:val="22"/>
          <w:szCs w:val="22"/>
        </w:rPr>
        <w:t xml:space="preserve"> China und die Republik Korea </w:t>
      </w:r>
      <w:r w:rsidRPr="1F437EA8" w:rsidR="583D47C9">
        <w:rPr>
          <w:b/>
          <w:bCs/>
          <w:sz w:val="22"/>
          <w:szCs w:val="22"/>
        </w:rPr>
        <w:t>führen die Statistik der Länder mit den meisten Patentanmeldungen an</w:t>
      </w:r>
    </w:p>
    <w:p w:rsidRPr="00EB23AF" w:rsidR="000D69C5" w:rsidP="009462AE" w:rsidRDefault="510FED7E" w14:paraId="5AA249AB" w14:textId="309E5BC1">
      <w:pPr>
        <w:pStyle w:val="ListParagraph"/>
        <w:numPr>
          <w:ilvl w:val="0"/>
          <w:numId w:val="6"/>
        </w:numPr>
        <w:jc w:val="both"/>
        <w:rPr>
          <w:b/>
          <w:bCs/>
          <w:sz w:val="22"/>
          <w:szCs w:val="22"/>
        </w:rPr>
      </w:pPr>
      <w:r w:rsidRPr="31BA641D">
        <w:rPr>
          <w:b/>
          <w:bCs/>
          <w:sz w:val="22"/>
          <w:szCs w:val="22"/>
        </w:rPr>
        <w:t xml:space="preserve">Samsung </w:t>
      </w:r>
      <w:r w:rsidR="003B3955">
        <w:rPr>
          <w:b/>
          <w:bCs/>
          <w:sz w:val="22"/>
          <w:szCs w:val="22"/>
        </w:rPr>
        <w:t>ist</w:t>
      </w:r>
      <w:r w:rsidRPr="31BA641D" w:rsidR="3D560330">
        <w:rPr>
          <w:b/>
          <w:bCs/>
          <w:sz w:val="22"/>
          <w:szCs w:val="22"/>
        </w:rPr>
        <w:t xml:space="preserve"> </w:t>
      </w:r>
      <w:r w:rsidRPr="31BA641D" w:rsidR="4FAB3D63">
        <w:rPr>
          <w:b/>
          <w:bCs/>
          <w:sz w:val="22"/>
          <w:szCs w:val="22"/>
        </w:rPr>
        <w:t>Top-</w:t>
      </w:r>
      <w:r w:rsidRPr="31BA641D" w:rsidR="177CE634">
        <w:rPr>
          <w:b/>
          <w:bCs/>
          <w:sz w:val="22"/>
          <w:szCs w:val="22"/>
        </w:rPr>
        <w:t>Anmelder vor</w:t>
      </w:r>
      <w:r w:rsidRPr="31BA641D">
        <w:rPr>
          <w:b/>
          <w:bCs/>
          <w:sz w:val="22"/>
          <w:szCs w:val="22"/>
        </w:rPr>
        <w:t xml:space="preserve"> Huawei und LG</w:t>
      </w:r>
    </w:p>
    <w:p w:rsidRPr="00361257" w:rsidR="000D69C5" w:rsidP="009462AE" w:rsidRDefault="4317AA99" w14:paraId="3B3B2991" w14:textId="5FE7AF4F">
      <w:pPr>
        <w:pStyle w:val="ListParagraph"/>
        <w:numPr>
          <w:ilvl w:val="0"/>
          <w:numId w:val="6"/>
        </w:numPr>
        <w:jc w:val="both"/>
        <w:rPr>
          <w:b/>
          <w:bCs/>
          <w:sz w:val="22"/>
          <w:szCs w:val="22"/>
        </w:rPr>
      </w:pPr>
      <w:r w:rsidRPr="4FB3ADFC">
        <w:rPr>
          <w:b/>
          <w:bCs/>
          <w:sz w:val="22"/>
          <w:szCs w:val="22"/>
        </w:rPr>
        <w:t xml:space="preserve">Das </w:t>
      </w:r>
      <w:r w:rsidRPr="4FB3ADFC" w:rsidR="510FED7E">
        <w:rPr>
          <w:b/>
          <w:bCs/>
          <w:sz w:val="22"/>
          <w:szCs w:val="22"/>
        </w:rPr>
        <w:t xml:space="preserve">Einheitspatentsystem </w:t>
      </w:r>
      <w:r w:rsidRPr="4FB3ADFC" w:rsidR="3B61A9F9">
        <w:rPr>
          <w:b/>
          <w:bCs/>
          <w:sz w:val="22"/>
          <w:szCs w:val="22"/>
        </w:rPr>
        <w:t>legt</w:t>
      </w:r>
      <w:r w:rsidRPr="4FB3ADFC" w:rsidR="510FED7E">
        <w:rPr>
          <w:b/>
          <w:bCs/>
          <w:sz w:val="22"/>
          <w:szCs w:val="22"/>
        </w:rPr>
        <w:t xml:space="preserve"> </w:t>
      </w:r>
      <w:r w:rsidRPr="4FB3ADFC" w:rsidR="7D7BBA7A">
        <w:rPr>
          <w:b/>
          <w:bCs/>
          <w:sz w:val="22"/>
          <w:szCs w:val="22"/>
        </w:rPr>
        <w:t xml:space="preserve">2024 </w:t>
      </w:r>
      <w:r w:rsidRPr="4FB3ADFC" w:rsidR="510FED7E">
        <w:rPr>
          <w:b/>
          <w:bCs/>
          <w:sz w:val="22"/>
          <w:szCs w:val="22"/>
        </w:rPr>
        <w:t xml:space="preserve">mit mehr als 28 000 </w:t>
      </w:r>
      <w:r w:rsidRPr="4FB3ADFC" w:rsidR="4A824F96">
        <w:rPr>
          <w:b/>
          <w:bCs/>
          <w:sz w:val="22"/>
          <w:szCs w:val="22"/>
        </w:rPr>
        <w:t>Anträgen an</w:t>
      </w:r>
      <w:r w:rsidRPr="4FB3ADFC" w:rsidR="510FED7E">
        <w:rPr>
          <w:b/>
          <w:bCs/>
          <w:sz w:val="22"/>
          <w:szCs w:val="22"/>
        </w:rPr>
        <w:t xml:space="preserve"> Dynamik</w:t>
      </w:r>
      <w:r w:rsidRPr="4FB3ADFC" w:rsidR="5F4F32D5">
        <w:rPr>
          <w:b/>
          <w:bCs/>
          <w:sz w:val="22"/>
          <w:szCs w:val="22"/>
        </w:rPr>
        <w:t xml:space="preserve"> zu</w:t>
      </w:r>
    </w:p>
    <w:p w:rsidRPr="00450CEC" w:rsidR="000D69C5" w:rsidP="009462AE" w:rsidRDefault="7EB566A0" w14:paraId="332237B5" w14:textId="2327CACC">
      <w:pPr>
        <w:pStyle w:val="ListParagraph"/>
        <w:numPr>
          <w:ilvl w:val="0"/>
          <w:numId w:val="6"/>
        </w:numPr>
        <w:jc w:val="both"/>
        <w:rPr>
          <w:b/>
          <w:bCs/>
          <w:sz w:val="22"/>
          <w:szCs w:val="22"/>
        </w:rPr>
      </w:pPr>
      <w:r w:rsidRPr="1F437EA8">
        <w:rPr>
          <w:b/>
          <w:bCs/>
          <w:sz w:val="22"/>
          <w:szCs w:val="22"/>
        </w:rPr>
        <w:t>Fast j</w:t>
      </w:r>
      <w:r w:rsidRPr="1F437EA8" w:rsidR="681FB2FA">
        <w:rPr>
          <w:b/>
          <w:bCs/>
          <w:sz w:val="22"/>
          <w:szCs w:val="22"/>
        </w:rPr>
        <w:t>ede vierte</w:t>
      </w:r>
      <w:r w:rsidRPr="1F437EA8" w:rsidR="510FED7E">
        <w:rPr>
          <w:b/>
          <w:bCs/>
          <w:sz w:val="22"/>
          <w:szCs w:val="22"/>
        </w:rPr>
        <w:t xml:space="preserve"> Patentanmeldung </w:t>
      </w:r>
      <w:r w:rsidRPr="1F437EA8" w:rsidR="57A36498">
        <w:rPr>
          <w:b/>
          <w:bCs/>
          <w:sz w:val="22"/>
          <w:szCs w:val="22"/>
        </w:rPr>
        <w:t xml:space="preserve">in Europa stammt </w:t>
      </w:r>
      <w:r w:rsidRPr="1F437EA8" w:rsidR="510FED7E">
        <w:rPr>
          <w:b/>
          <w:bCs/>
          <w:sz w:val="22"/>
          <w:szCs w:val="22"/>
        </w:rPr>
        <w:t>von kleinen oder mittleren Unternehmen</w:t>
      </w:r>
    </w:p>
    <w:p w:rsidRPr="00450CEC" w:rsidR="000D69C5" w:rsidP="009462AE" w:rsidRDefault="003B3955" w14:paraId="1EF10E9F" w14:textId="5165DC78">
      <w:pPr>
        <w:pStyle w:val="ListParagraph"/>
        <w:numPr>
          <w:ilvl w:val="0"/>
          <w:numId w:val="6"/>
        </w:numPr>
        <w:jc w:val="both"/>
        <w:rPr>
          <w:b/>
          <w:bCs/>
          <w:sz w:val="22"/>
          <w:szCs w:val="22"/>
        </w:rPr>
      </w:pPr>
      <w:r>
        <w:rPr>
          <w:b/>
          <w:bCs/>
          <w:sz w:val="22"/>
          <w:szCs w:val="22"/>
        </w:rPr>
        <w:t>J</w:t>
      </w:r>
      <w:r w:rsidRPr="552BD527" w:rsidR="510FED7E">
        <w:rPr>
          <w:b/>
          <w:bCs/>
          <w:sz w:val="22"/>
          <w:szCs w:val="22"/>
        </w:rPr>
        <w:t xml:space="preserve">ede vierte </w:t>
      </w:r>
      <w:r w:rsidRPr="552BD527" w:rsidR="3439E370">
        <w:rPr>
          <w:b/>
          <w:bCs/>
          <w:sz w:val="22"/>
          <w:szCs w:val="22"/>
        </w:rPr>
        <w:t xml:space="preserve">Patentanmeldung </w:t>
      </w:r>
      <w:r>
        <w:rPr>
          <w:b/>
          <w:bCs/>
          <w:sz w:val="22"/>
          <w:szCs w:val="22"/>
        </w:rPr>
        <w:t>nennt</w:t>
      </w:r>
      <w:r w:rsidRPr="552BD527">
        <w:rPr>
          <w:b/>
          <w:bCs/>
          <w:sz w:val="22"/>
          <w:szCs w:val="22"/>
        </w:rPr>
        <w:t xml:space="preserve"> </w:t>
      </w:r>
      <w:r w:rsidRPr="552BD527" w:rsidR="510FED7E">
        <w:rPr>
          <w:b/>
          <w:bCs/>
          <w:sz w:val="22"/>
          <w:szCs w:val="22"/>
        </w:rPr>
        <w:t xml:space="preserve">eine Frau als Erfinderin </w:t>
      </w:r>
    </w:p>
    <w:p w:rsidRPr="00450CEC" w:rsidR="4E07E1B3" w:rsidP="4E07E1B3" w:rsidRDefault="4E07E1B3" w14:paraId="3B7E6C59" w14:textId="7C74B018">
      <w:pPr>
        <w:pStyle w:val="ListParagraph"/>
        <w:jc w:val="both"/>
        <w:rPr>
          <w:b/>
          <w:bCs/>
          <w:sz w:val="22"/>
          <w:szCs w:val="22"/>
        </w:rPr>
      </w:pPr>
    </w:p>
    <w:p w:rsidRPr="009610C4" w:rsidR="009B0AD8" w:rsidP="00777322" w:rsidRDefault="181E69F1" w14:paraId="5B996EC1" w14:textId="5A3AA8E1">
      <w:pPr>
        <w:jc w:val="both"/>
        <w:rPr>
          <w:sz w:val="20"/>
          <w:szCs w:val="20"/>
        </w:rPr>
      </w:pPr>
      <w:r w:rsidRPr="6C9E4079" w:rsidR="181E69F1">
        <w:rPr>
          <w:b w:val="1"/>
          <w:bCs w:val="1"/>
          <w:sz w:val="20"/>
          <w:szCs w:val="20"/>
        </w:rPr>
        <w:t xml:space="preserve">München, 25. März 2025 </w:t>
      </w:r>
      <w:r w:rsidRPr="6C9E4079" w:rsidR="181E69F1">
        <w:rPr>
          <w:sz w:val="20"/>
          <w:szCs w:val="20"/>
        </w:rPr>
        <w:t>–</w:t>
      </w:r>
      <w:r w:rsidRPr="6C9E4079" w:rsidR="72700795">
        <w:rPr>
          <w:sz w:val="20"/>
          <w:szCs w:val="20"/>
        </w:rPr>
        <w:t xml:space="preserve"> </w:t>
      </w:r>
      <w:r w:rsidRPr="6C9E4079" w:rsidR="003B3955">
        <w:rPr>
          <w:sz w:val="20"/>
          <w:szCs w:val="20"/>
        </w:rPr>
        <w:t xml:space="preserve">Der </w:t>
      </w:r>
      <w:r w:rsidRPr="6C9E4079" w:rsidR="27EB8F85">
        <w:rPr>
          <w:sz w:val="20"/>
          <w:szCs w:val="20"/>
        </w:rPr>
        <w:t xml:space="preserve">heute veröffentlichte Patent Index 2024 des Europäischen Patentamts (EPA) </w:t>
      </w:r>
      <w:r w:rsidRPr="6C9E4079" w:rsidR="003B3955">
        <w:rPr>
          <w:sz w:val="20"/>
          <w:szCs w:val="20"/>
        </w:rPr>
        <w:t xml:space="preserve">meldet </w:t>
      </w:r>
      <w:r w:rsidRPr="6C9E4079" w:rsidR="27EB8F85">
        <w:rPr>
          <w:sz w:val="20"/>
          <w:szCs w:val="20"/>
        </w:rPr>
        <w:t>weltweit 199 264 </w:t>
      </w:r>
      <w:r w:rsidRPr="6C9E4079" w:rsidR="003B3955">
        <w:rPr>
          <w:sz w:val="20"/>
          <w:szCs w:val="20"/>
        </w:rPr>
        <w:t>Patent</w:t>
      </w:r>
      <w:r w:rsidRPr="6C9E4079" w:rsidR="00892C27">
        <w:rPr>
          <w:sz w:val="20"/>
          <w:szCs w:val="20"/>
        </w:rPr>
        <w:t>anmeld</w:t>
      </w:r>
      <w:r w:rsidRPr="6C9E4079" w:rsidR="003B3955">
        <w:rPr>
          <w:sz w:val="20"/>
          <w:szCs w:val="20"/>
        </w:rPr>
        <w:t>ungen</w:t>
      </w:r>
      <w:r w:rsidRPr="6C9E4079" w:rsidR="27EB8F85">
        <w:rPr>
          <w:sz w:val="20"/>
          <w:szCs w:val="20"/>
        </w:rPr>
        <w:t>.</w:t>
      </w:r>
      <w:r w:rsidRPr="6C9E4079" w:rsidR="003B3955">
        <w:rPr>
          <w:sz w:val="20"/>
          <w:szCs w:val="20"/>
        </w:rPr>
        <w:t xml:space="preserve"> Nach drei Jahren des kontinuierlichen Anstiegs zeigten sich</w:t>
      </w:r>
      <w:r w:rsidRPr="6C9E4079" w:rsidR="27EB8F85">
        <w:rPr>
          <w:sz w:val="20"/>
          <w:szCs w:val="20"/>
        </w:rPr>
        <w:t xml:space="preserve"> Unternehmen und </w:t>
      </w:r>
      <w:r w:rsidRPr="6C9E4079" w:rsidR="27EB8F85">
        <w:rPr>
          <w:sz w:val="20"/>
          <w:szCs w:val="20"/>
        </w:rPr>
        <w:t>Einzel</w:t>
      </w:r>
      <w:r w:rsidRPr="6C9E4079" w:rsidR="71069800">
        <w:rPr>
          <w:sz w:val="20"/>
          <w:szCs w:val="20"/>
        </w:rPr>
        <w:t>erfinder:</w:t>
      </w:r>
      <w:r w:rsidRPr="6C9E4079" w:rsidR="00892C27">
        <w:rPr>
          <w:sz w:val="20"/>
          <w:szCs w:val="20"/>
        </w:rPr>
        <w:t>i</w:t>
      </w:r>
      <w:r w:rsidRPr="6C9E4079" w:rsidR="71069800">
        <w:rPr>
          <w:sz w:val="20"/>
          <w:szCs w:val="20"/>
        </w:rPr>
        <w:t>n</w:t>
      </w:r>
      <w:r w:rsidRPr="6C9E4079" w:rsidR="27EB8F85">
        <w:rPr>
          <w:sz w:val="20"/>
          <w:szCs w:val="20"/>
        </w:rPr>
        <w:t>nen</w:t>
      </w:r>
      <w:r w:rsidRPr="6C9E4079" w:rsidR="27EB8F85">
        <w:rPr>
          <w:sz w:val="20"/>
          <w:szCs w:val="20"/>
        </w:rPr>
        <w:t xml:space="preserve"> </w:t>
      </w:r>
      <w:r w:rsidRPr="6C9E4079" w:rsidR="68A2E9AE">
        <w:rPr>
          <w:sz w:val="20"/>
          <w:szCs w:val="20"/>
        </w:rPr>
        <w:t xml:space="preserve">ähnlich aktiv </w:t>
      </w:r>
      <w:bookmarkStart w:name="_Hlk160879042" w:id="2"/>
      <w:bookmarkEnd w:id="1"/>
      <w:r w:rsidRPr="6C9E4079" w:rsidR="72227BB5">
        <w:rPr>
          <w:sz w:val="20"/>
          <w:szCs w:val="20"/>
        </w:rPr>
        <w:t>wie im Vorjahr</w:t>
      </w:r>
      <w:r w:rsidRPr="6C9E4079" w:rsidR="5CC244BD">
        <w:rPr>
          <w:sz w:val="20"/>
          <w:szCs w:val="20"/>
        </w:rPr>
        <w:t xml:space="preserve"> </w:t>
      </w:r>
      <w:bookmarkStart w:name="_Hlk190614306" w:id="3"/>
      <w:bookmarkEnd w:id="2"/>
      <w:r w:rsidRPr="6C9E4079" w:rsidR="181E69F1">
        <w:rPr>
          <w:sz w:val="20"/>
          <w:szCs w:val="20"/>
        </w:rPr>
        <w:t>(2023: 199 452, -0,1 </w:t>
      </w:r>
      <w:r w:rsidRPr="6C9E4079" w:rsidR="003B3955">
        <w:rPr>
          <w:sz w:val="20"/>
          <w:szCs w:val="20"/>
        </w:rPr>
        <w:t>%)</w:t>
      </w:r>
      <w:r w:rsidRPr="6C9E4079" w:rsidR="720669DC">
        <w:rPr>
          <w:sz w:val="20"/>
          <w:szCs w:val="20"/>
        </w:rPr>
        <w:t>.</w:t>
      </w:r>
      <w:r w:rsidRPr="6C9E4079" w:rsidR="5FEB3FDE">
        <w:rPr>
          <w:sz w:val="20"/>
          <w:szCs w:val="20"/>
        </w:rPr>
        <w:t xml:space="preserve"> </w:t>
      </w:r>
      <w:bookmarkEnd w:id="3"/>
      <w:r w:rsidRPr="6C9E4079" w:rsidR="181E69F1">
        <w:rPr>
          <w:sz w:val="20"/>
          <w:szCs w:val="20"/>
        </w:rPr>
        <w:t>Während Patentanmeldungen aus Europa</w:t>
      </w:r>
      <w:r w:rsidRPr="6C9E4079" w:rsidR="240A4A5E">
        <w:rPr>
          <w:sz w:val="20"/>
          <w:szCs w:val="20"/>
        </w:rPr>
        <w:t xml:space="preserve"> und </w:t>
      </w:r>
      <w:r w:rsidRPr="6C9E4079" w:rsidR="15FDACC8">
        <w:rPr>
          <w:sz w:val="20"/>
          <w:szCs w:val="20"/>
        </w:rPr>
        <w:t>den 39</w:t>
      </w:r>
      <w:r w:rsidRPr="6C9E4079" w:rsidR="181E69F1">
        <w:rPr>
          <w:sz w:val="20"/>
          <w:szCs w:val="20"/>
        </w:rPr>
        <w:t> EPA-</w:t>
      </w:r>
      <w:hyperlink r:id="Ra3585e2da8db402e">
        <w:r w:rsidRPr="6C9E4079" w:rsidR="181E69F1">
          <w:rPr>
            <w:rStyle w:val="Hyperlink"/>
            <w:sz w:val="20"/>
            <w:szCs w:val="20"/>
          </w:rPr>
          <w:t>Mitgliedstaaten</w:t>
        </w:r>
      </w:hyperlink>
      <w:r w:rsidRPr="6C9E4079" w:rsidR="181E69F1">
        <w:rPr>
          <w:sz w:val="20"/>
          <w:szCs w:val="20"/>
        </w:rPr>
        <w:t xml:space="preserve"> um </w:t>
      </w:r>
      <w:r w:rsidRPr="6C9E4079" w:rsidR="001879F3">
        <w:rPr>
          <w:sz w:val="20"/>
          <w:szCs w:val="20"/>
        </w:rPr>
        <w:t>+</w:t>
      </w:r>
      <w:r w:rsidRPr="6C9E4079" w:rsidR="181E69F1">
        <w:rPr>
          <w:sz w:val="20"/>
          <w:szCs w:val="20"/>
        </w:rPr>
        <w:t xml:space="preserve">0,3 % </w:t>
      </w:r>
      <w:r w:rsidRPr="6C9E4079" w:rsidR="5C6004D3">
        <w:rPr>
          <w:sz w:val="20"/>
          <w:szCs w:val="20"/>
        </w:rPr>
        <w:t>zulegten</w:t>
      </w:r>
      <w:r w:rsidRPr="6C9E4079" w:rsidR="181E69F1">
        <w:rPr>
          <w:sz w:val="20"/>
          <w:szCs w:val="20"/>
        </w:rPr>
        <w:t>, ging</w:t>
      </w:r>
      <w:r w:rsidRPr="6C9E4079" w:rsidR="23AB891C">
        <w:rPr>
          <w:sz w:val="20"/>
          <w:szCs w:val="20"/>
        </w:rPr>
        <w:t xml:space="preserve"> die Zahl der </w:t>
      </w:r>
      <w:r w:rsidRPr="6C9E4079" w:rsidR="181E69F1">
        <w:rPr>
          <w:sz w:val="20"/>
          <w:szCs w:val="20"/>
        </w:rPr>
        <w:t>Anmeldungen aus außereuropäischen Ländern leicht zurück (-0,4 %).</w:t>
      </w:r>
    </w:p>
    <w:p w:rsidRPr="00020959" w:rsidR="703CB6C7" w:rsidP="31BA641D" w:rsidRDefault="703CB6C7" w14:paraId="36D463BD" w14:textId="47CC2240">
      <w:pPr>
        <w:spacing w:before="280" w:after="280" w:line="259" w:lineRule="auto"/>
        <w:jc w:val="both"/>
        <w:rPr>
          <w:color w:val="000000" w:themeColor="text1"/>
          <w:sz w:val="20"/>
          <w:szCs w:val="20"/>
        </w:rPr>
      </w:pPr>
      <w:r w:rsidRPr="009610C4">
        <w:rPr>
          <w:i/>
          <w:iCs/>
          <w:sz w:val="20"/>
          <w:szCs w:val="20"/>
        </w:rPr>
        <w:t>"Trotz politischer und wirtschaftlicher Unsicherheiten</w:t>
      </w:r>
      <w:r w:rsidRPr="00020959">
        <w:rPr>
          <w:i/>
          <w:iCs/>
          <w:sz w:val="20"/>
          <w:szCs w:val="20"/>
        </w:rPr>
        <w:t xml:space="preserve"> meldeten europäische Unternehmen und </w:t>
      </w:r>
      <w:proofErr w:type="spellStart"/>
      <w:r w:rsidRPr="00020959">
        <w:rPr>
          <w:i/>
          <w:iCs/>
          <w:sz w:val="20"/>
          <w:szCs w:val="20"/>
        </w:rPr>
        <w:t>Erfinder</w:t>
      </w:r>
      <w:r w:rsidRPr="00020959" w:rsidR="0654A9E1">
        <w:rPr>
          <w:i/>
          <w:iCs/>
          <w:sz w:val="20"/>
          <w:szCs w:val="20"/>
        </w:rPr>
        <w:t>:</w:t>
      </w:r>
      <w:r w:rsidR="001879F3">
        <w:rPr>
          <w:i/>
          <w:iCs/>
          <w:sz w:val="20"/>
          <w:szCs w:val="20"/>
        </w:rPr>
        <w:t>i</w:t>
      </w:r>
      <w:r w:rsidRPr="00020959">
        <w:rPr>
          <w:i/>
          <w:iCs/>
          <w:sz w:val="20"/>
          <w:szCs w:val="20"/>
        </w:rPr>
        <w:t>nnen</w:t>
      </w:r>
      <w:proofErr w:type="spellEnd"/>
      <w:r w:rsidRPr="00020959">
        <w:rPr>
          <w:i/>
          <w:iCs/>
          <w:sz w:val="20"/>
          <w:szCs w:val="20"/>
        </w:rPr>
        <w:t xml:space="preserve"> im vergangenen Jahr mehr Patente an. Das unterstreicht ihren technologischen Vorsprung und ihre kontinuierlichen Investitionen in Forschung und Entwicklung"</w:t>
      </w:r>
      <w:r w:rsidRPr="00020959">
        <w:rPr>
          <w:sz w:val="20"/>
          <w:szCs w:val="20"/>
        </w:rPr>
        <w:t>, sagt EPA-Präsident António Campinos.</w:t>
      </w:r>
      <w:r w:rsidRPr="00020959">
        <w:rPr>
          <w:i/>
          <w:iCs/>
          <w:sz w:val="20"/>
          <w:szCs w:val="20"/>
        </w:rPr>
        <w:t xml:space="preserve"> "</w:t>
      </w:r>
      <w:r w:rsidRPr="00020959" w:rsidR="35B2875E">
        <w:rPr>
          <w:i/>
          <w:iCs/>
          <w:color w:val="000000" w:themeColor="text1"/>
          <w:sz w:val="20"/>
          <w:szCs w:val="20"/>
        </w:rPr>
        <w:t xml:space="preserve">Die Patentdaten des EPA dienen als klarer Wegweiser für die Industrie, politische Entscheidungsträger </w:t>
      </w:r>
      <w:r w:rsidRPr="00020959" w:rsidR="007D63F2">
        <w:rPr>
          <w:i/>
          <w:iCs/>
          <w:color w:val="000000" w:themeColor="text1"/>
          <w:sz w:val="20"/>
          <w:szCs w:val="20"/>
        </w:rPr>
        <w:t xml:space="preserve">sowie für </w:t>
      </w:r>
      <w:r w:rsidRPr="00020959" w:rsidR="35B2875E">
        <w:rPr>
          <w:i/>
          <w:iCs/>
          <w:color w:val="000000" w:themeColor="text1"/>
          <w:sz w:val="20"/>
          <w:szCs w:val="20"/>
        </w:rPr>
        <w:t>Investitionen. Wie de</w:t>
      </w:r>
      <w:r w:rsidRPr="00020959" w:rsidR="005969A6">
        <w:rPr>
          <w:i/>
          <w:iCs/>
          <w:color w:val="000000" w:themeColor="text1"/>
          <w:sz w:val="20"/>
          <w:szCs w:val="20"/>
        </w:rPr>
        <w:t>r</w:t>
      </w:r>
      <w:r w:rsidRPr="00020959" w:rsidR="35B2875E">
        <w:rPr>
          <w:i/>
          <w:iCs/>
          <w:color w:val="000000" w:themeColor="text1"/>
          <w:sz w:val="20"/>
          <w:szCs w:val="20"/>
        </w:rPr>
        <w:t xml:space="preserve"> Draghi- und </w:t>
      </w:r>
      <w:r w:rsidRPr="00020959" w:rsidR="005969A6">
        <w:rPr>
          <w:i/>
          <w:iCs/>
          <w:color w:val="000000" w:themeColor="text1"/>
          <w:sz w:val="20"/>
          <w:szCs w:val="20"/>
        </w:rPr>
        <w:t xml:space="preserve">der </w:t>
      </w:r>
      <w:r w:rsidRPr="00020959" w:rsidR="35B2875E">
        <w:rPr>
          <w:i/>
          <w:iCs/>
          <w:color w:val="000000" w:themeColor="text1"/>
          <w:sz w:val="20"/>
          <w:szCs w:val="20"/>
        </w:rPr>
        <w:t xml:space="preserve">Letta-Bericht warnen, muss </w:t>
      </w:r>
      <w:r w:rsidRPr="00020959" w:rsidR="005969A6">
        <w:rPr>
          <w:i/>
          <w:iCs/>
          <w:color w:val="000000" w:themeColor="text1"/>
          <w:sz w:val="20"/>
          <w:szCs w:val="20"/>
        </w:rPr>
        <w:t>E</w:t>
      </w:r>
      <w:r w:rsidRPr="00020959" w:rsidR="35B2875E">
        <w:rPr>
          <w:i/>
          <w:iCs/>
          <w:color w:val="000000" w:themeColor="text1"/>
          <w:sz w:val="20"/>
          <w:szCs w:val="20"/>
        </w:rPr>
        <w:t xml:space="preserve">uropa sein Innovationsökosystem weiter stärken, um </w:t>
      </w:r>
      <w:r w:rsidRPr="00020959" w:rsidR="005969A6">
        <w:rPr>
          <w:i/>
          <w:iCs/>
          <w:color w:val="000000" w:themeColor="text1"/>
          <w:sz w:val="20"/>
          <w:szCs w:val="20"/>
        </w:rPr>
        <w:t xml:space="preserve">auf globaler Ebene </w:t>
      </w:r>
      <w:r w:rsidRPr="00020959" w:rsidR="35B2875E">
        <w:rPr>
          <w:i/>
          <w:iCs/>
          <w:color w:val="000000" w:themeColor="text1"/>
          <w:sz w:val="20"/>
          <w:szCs w:val="20"/>
        </w:rPr>
        <w:t>wettbewerbsfähig zu bleiben. Besonders in kritischen Bereichen wie grüne Technologien, Künstliche Intelligenz und Halbleiter ist es entscheidend, Erfindern bessere Möglichkeiten zur Skalierung und Kommerzialisierung ihrer Innovationen zu bieten.”</w:t>
      </w:r>
    </w:p>
    <w:p w:rsidRPr="00020959" w:rsidR="00A83D48" w:rsidP="31BA641D" w:rsidRDefault="48840342" w14:paraId="655CCB43" w14:textId="4134BA1F">
      <w:pPr>
        <w:spacing w:before="280" w:after="280" w:line="259" w:lineRule="auto"/>
        <w:jc w:val="both"/>
        <w:rPr>
          <w:b/>
          <w:bCs/>
          <w:sz w:val="20"/>
          <w:szCs w:val="20"/>
        </w:rPr>
      </w:pPr>
      <w:bookmarkStart w:name="_heading=h.3dy6vkm" w:id="4"/>
      <w:bookmarkStart w:name="_heading=h.1t3h5sf" w:id="5"/>
      <w:bookmarkEnd w:id="4"/>
      <w:bookmarkEnd w:id="5"/>
      <w:r w:rsidRPr="00020959">
        <w:rPr>
          <w:b/>
          <w:bCs/>
          <w:sz w:val="20"/>
          <w:szCs w:val="20"/>
        </w:rPr>
        <w:t xml:space="preserve">Computertechnologien an der Spitze  </w:t>
      </w:r>
    </w:p>
    <w:p w:rsidRPr="009610C4" w:rsidR="00F402FA" w:rsidP="4FB3ADFC" w:rsidRDefault="740B0AC3" w14:paraId="04631B2B" w14:textId="7D4ACC96">
      <w:pPr>
        <w:pStyle w:val="NormalWeb"/>
        <w:jc w:val="both"/>
        <w:rPr>
          <w:rFonts w:ascii="Arial" w:hAnsi="Arial" w:cs="Arial"/>
          <w:sz w:val="20"/>
          <w:szCs w:val="20"/>
        </w:rPr>
      </w:pPr>
      <w:r w:rsidRPr="009610C4">
        <w:rPr>
          <w:rFonts w:ascii="Arial" w:hAnsi="Arial" w:cs="Arial"/>
          <w:b/>
          <w:bCs/>
          <w:sz w:val="20"/>
          <w:szCs w:val="20"/>
        </w:rPr>
        <w:t>Computertechnologie</w:t>
      </w:r>
      <w:r w:rsidRPr="009610C4">
        <w:rPr>
          <w:rFonts w:ascii="Arial" w:hAnsi="Arial" w:cs="Arial"/>
          <w:sz w:val="20"/>
          <w:szCs w:val="20"/>
        </w:rPr>
        <w:t>, zu der</w:t>
      </w:r>
      <w:r w:rsidRPr="009610C4" w:rsidR="00CF454B">
        <w:rPr>
          <w:rFonts w:ascii="Arial" w:hAnsi="Arial" w:cs="Arial"/>
          <w:sz w:val="20"/>
          <w:szCs w:val="20"/>
        </w:rPr>
        <w:t xml:space="preserve"> auch</w:t>
      </w:r>
      <w:r w:rsidRPr="009610C4">
        <w:rPr>
          <w:rFonts w:ascii="Arial" w:hAnsi="Arial" w:cs="Arial"/>
          <w:sz w:val="20"/>
          <w:szCs w:val="20"/>
        </w:rPr>
        <w:t xml:space="preserve"> </w:t>
      </w:r>
      <w:r w:rsidRPr="009610C4" w:rsidR="5686185E">
        <w:rPr>
          <w:rFonts w:ascii="Arial" w:hAnsi="Arial" w:cs="Arial"/>
          <w:sz w:val="20"/>
          <w:szCs w:val="20"/>
        </w:rPr>
        <w:t>Teil</w:t>
      </w:r>
      <w:r w:rsidRPr="009610C4" w:rsidR="07964CFF">
        <w:rPr>
          <w:rFonts w:ascii="Arial" w:hAnsi="Arial" w:cs="Arial"/>
          <w:sz w:val="20"/>
          <w:szCs w:val="20"/>
        </w:rPr>
        <w:t>b</w:t>
      </w:r>
      <w:r w:rsidRPr="009610C4">
        <w:rPr>
          <w:rFonts w:ascii="Arial" w:hAnsi="Arial" w:cs="Arial"/>
          <w:sz w:val="20"/>
          <w:szCs w:val="20"/>
        </w:rPr>
        <w:t xml:space="preserve">ereiche der </w:t>
      </w:r>
      <w:r w:rsidRPr="009610C4">
        <w:rPr>
          <w:rFonts w:ascii="Arial" w:hAnsi="Arial" w:cs="Arial"/>
          <w:b/>
          <w:bCs/>
          <w:sz w:val="20"/>
          <w:szCs w:val="20"/>
        </w:rPr>
        <w:t>künstlichen Intelligenz</w:t>
      </w:r>
      <w:r w:rsidRPr="009610C4">
        <w:rPr>
          <w:rFonts w:ascii="Arial" w:hAnsi="Arial" w:cs="Arial"/>
          <w:sz w:val="20"/>
          <w:szCs w:val="20"/>
        </w:rPr>
        <w:t xml:space="preserve"> wie maschinelles Lernen und </w:t>
      </w:r>
      <w:r w:rsidRPr="009610C4" w:rsidR="005969A6">
        <w:rPr>
          <w:rFonts w:ascii="Arial" w:hAnsi="Arial" w:cs="Arial"/>
          <w:sz w:val="20"/>
          <w:szCs w:val="20"/>
        </w:rPr>
        <w:t xml:space="preserve">die </w:t>
      </w:r>
      <w:r w:rsidRPr="009610C4">
        <w:rPr>
          <w:rFonts w:ascii="Arial" w:hAnsi="Arial" w:cs="Arial"/>
          <w:sz w:val="20"/>
          <w:szCs w:val="20"/>
        </w:rPr>
        <w:t xml:space="preserve">Mustererkennung gehören, </w:t>
      </w:r>
      <w:r w:rsidRPr="009610C4" w:rsidR="00CF454B">
        <w:rPr>
          <w:rFonts w:ascii="Arial" w:hAnsi="Arial" w:cs="Arial"/>
          <w:sz w:val="20"/>
          <w:szCs w:val="20"/>
        </w:rPr>
        <w:t xml:space="preserve">war erstmals das führende Gebiet </w:t>
      </w:r>
      <w:r w:rsidRPr="009610C4">
        <w:rPr>
          <w:rFonts w:ascii="Arial" w:hAnsi="Arial" w:cs="Arial"/>
          <w:sz w:val="20"/>
          <w:szCs w:val="20"/>
        </w:rPr>
        <w:t>mit 16 815 Patentanmeldungen im Jahr 2024.</w:t>
      </w:r>
      <w:bookmarkStart w:name="_Hlk190959396" w:id="6"/>
      <w:r w:rsidRPr="009610C4">
        <w:rPr>
          <w:rFonts w:ascii="Arial" w:hAnsi="Arial" w:cs="Arial"/>
          <w:sz w:val="20"/>
          <w:szCs w:val="20"/>
        </w:rPr>
        <w:t xml:space="preserve"> </w:t>
      </w:r>
      <w:r w:rsidRPr="009610C4">
        <w:rPr>
          <w:rFonts w:ascii="Arial" w:hAnsi="Arial" w:cs="Arial"/>
          <w:b/>
          <w:bCs/>
          <w:sz w:val="20"/>
          <w:szCs w:val="20"/>
        </w:rPr>
        <w:t>Elektrische Maschinen, Geräte, Energie</w:t>
      </w:r>
      <w:r w:rsidRPr="009610C4">
        <w:rPr>
          <w:rFonts w:ascii="Arial" w:hAnsi="Arial" w:cs="Arial"/>
          <w:sz w:val="20"/>
          <w:szCs w:val="20"/>
        </w:rPr>
        <w:t xml:space="preserve"> verzeichneten im vergangenen Jahr den größten Zuwachs (+8,9 %</w:t>
      </w:r>
      <w:bookmarkEnd w:id="6"/>
      <w:r w:rsidRPr="009610C4">
        <w:rPr>
          <w:rFonts w:ascii="Arial" w:hAnsi="Arial" w:cs="Arial"/>
          <w:sz w:val="20"/>
          <w:szCs w:val="20"/>
        </w:rPr>
        <w:t xml:space="preserve"> gegenüber 2023). Dieser ist auf Fortschritte bei sauberen Energietechnologien zurückzuführen, insbesondere auf Innovation</w:t>
      </w:r>
      <w:r w:rsidRPr="009610C4" w:rsidR="7BE8F841">
        <w:rPr>
          <w:rFonts w:ascii="Arial" w:hAnsi="Arial" w:cs="Arial"/>
          <w:sz w:val="20"/>
          <w:szCs w:val="20"/>
        </w:rPr>
        <w:t>en</w:t>
      </w:r>
      <w:r w:rsidRPr="009610C4">
        <w:rPr>
          <w:rFonts w:ascii="Arial" w:hAnsi="Arial" w:cs="Arial"/>
          <w:sz w:val="20"/>
          <w:szCs w:val="20"/>
        </w:rPr>
        <w:t xml:space="preserve"> bei Batterien</w:t>
      </w:r>
      <w:r w:rsidRPr="009610C4" w:rsidR="3C163923">
        <w:rPr>
          <w:rFonts w:ascii="Arial" w:hAnsi="Arial" w:cs="Arial"/>
          <w:sz w:val="20"/>
          <w:szCs w:val="20"/>
        </w:rPr>
        <w:t xml:space="preserve"> (+24.0%)</w:t>
      </w:r>
      <w:r w:rsidRPr="009610C4">
        <w:rPr>
          <w:rFonts w:ascii="Arial" w:hAnsi="Arial" w:cs="Arial"/>
          <w:sz w:val="20"/>
          <w:szCs w:val="20"/>
        </w:rPr>
        <w:t xml:space="preserve">. </w:t>
      </w:r>
      <w:r w:rsidRPr="009610C4" w:rsidR="00CF454B">
        <w:rPr>
          <w:rFonts w:ascii="Arial" w:hAnsi="Arial" w:cs="Arial"/>
          <w:sz w:val="20"/>
          <w:szCs w:val="20"/>
        </w:rPr>
        <w:t>Dagegen verzeichnet d</w:t>
      </w:r>
      <w:r w:rsidRPr="009610C4">
        <w:rPr>
          <w:rFonts w:ascii="Arial" w:hAnsi="Arial" w:cs="Arial"/>
          <w:sz w:val="20"/>
          <w:szCs w:val="20"/>
        </w:rPr>
        <w:t xml:space="preserve">ie </w:t>
      </w:r>
      <w:r w:rsidRPr="009610C4">
        <w:rPr>
          <w:rFonts w:ascii="Arial" w:hAnsi="Arial" w:cs="Arial"/>
          <w:b/>
          <w:bCs/>
          <w:sz w:val="20"/>
          <w:szCs w:val="20"/>
        </w:rPr>
        <w:t>digitale Kommunikation</w:t>
      </w:r>
      <w:r w:rsidRPr="009610C4">
        <w:rPr>
          <w:rFonts w:ascii="Arial" w:hAnsi="Arial" w:cs="Arial"/>
          <w:sz w:val="20"/>
          <w:szCs w:val="20"/>
        </w:rPr>
        <w:t xml:space="preserve">, die Erfindungen im Bereich der Mobilfunknetze umfasst, einen Rückgang um </w:t>
      </w:r>
      <w:r w:rsidRPr="009610C4" w:rsidR="00CF454B">
        <w:rPr>
          <w:rFonts w:ascii="Arial" w:hAnsi="Arial" w:cs="Arial"/>
          <w:sz w:val="20"/>
          <w:szCs w:val="20"/>
        </w:rPr>
        <w:t>-</w:t>
      </w:r>
      <w:r w:rsidRPr="009610C4">
        <w:rPr>
          <w:rFonts w:ascii="Arial" w:hAnsi="Arial" w:cs="Arial"/>
          <w:sz w:val="20"/>
          <w:szCs w:val="20"/>
        </w:rPr>
        <w:t xml:space="preserve">6,3 %. </w:t>
      </w:r>
    </w:p>
    <w:p w:rsidRPr="009610C4" w:rsidR="4C663F7E" w:rsidP="7DD34939" w:rsidRDefault="4C663F7E" w14:paraId="170ACC06" w14:textId="2FC2F8CA">
      <w:pPr>
        <w:jc w:val="both"/>
        <w:rPr>
          <w:sz w:val="20"/>
          <w:szCs w:val="20"/>
        </w:rPr>
      </w:pPr>
      <w:r w:rsidRPr="009610C4">
        <w:rPr>
          <w:noProof/>
          <w:sz w:val="20"/>
          <w:szCs w:val="20"/>
        </w:rPr>
        <w:drawing>
          <wp:inline distT="0" distB="0" distL="0" distR="0" wp14:anchorId="1C775330" wp14:editId="46C5CD6F">
            <wp:extent cx="3170195" cy="2377646"/>
            <wp:effectExtent l="0" t="0" r="0" b="0"/>
            <wp:docPr id="465119842" name="Picture 46511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170195" cy="2377646"/>
                    </a:xfrm>
                    <a:prstGeom prst="rect">
                      <a:avLst/>
                    </a:prstGeom>
                  </pic:spPr>
                </pic:pic>
              </a:graphicData>
            </a:graphic>
          </wp:inline>
        </w:drawing>
      </w:r>
    </w:p>
    <w:p w:rsidRPr="009610C4" w:rsidR="7DD34939" w:rsidP="7DD34939" w:rsidRDefault="7DD34939" w14:paraId="702F84D1" w14:textId="244AA163">
      <w:pPr>
        <w:jc w:val="both"/>
        <w:rPr>
          <w:sz w:val="20"/>
          <w:szCs w:val="20"/>
        </w:rPr>
      </w:pPr>
    </w:p>
    <w:p w:rsidRPr="009610C4" w:rsidR="005D4716" w:rsidP="4FB3ADFC" w:rsidRDefault="48840342" w14:paraId="3248F850" w14:textId="1354E102">
      <w:pPr>
        <w:jc w:val="both"/>
        <w:rPr>
          <w:b/>
          <w:bCs/>
          <w:sz w:val="20"/>
          <w:szCs w:val="20"/>
        </w:rPr>
      </w:pPr>
      <w:r w:rsidRPr="009610C4">
        <w:rPr>
          <w:b/>
          <w:bCs/>
          <w:sz w:val="20"/>
          <w:szCs w:val="20"/>
        </w:rPr>
        <w:t xml:space="preserve">Globale und europäische Patenttrends </w:t>
      </w:r>
    </w:p>
    <w:p w:rsidRPr="009610C4" w:rsidR="781272F1" w:rsidP="6E23E423" w:rsidRDefault="781272F1" w14:paraId="2E953018" w14:textId="39978071">
      <w:pPr>
        <w:pStyle w:val="NormalWeb"/>
        <w:spacing w:before="240" w:beforeAutospacing="0" w:after="240" w:afterAutospacing="0"/>
        <w:jc w:val="both"/>
        <w:rPr>
          <w:rFonts w:ascii="Arial" w:hAnsi="Arial" w:eastAsia="Arial" w:cs="Arial"/>
          <w:i/>
          <w:iCs/>
          <w:sz w:val="20"/>
          <w:szCs w:val="20"/>
          <w:lang w:val="de"/>
        </w:rPr>
      </w:pPr>
      <w:r w:rsidRPr="009610C4">
        <w:rPr>
          <w:rFonts w:ascii="Arial" w:hAnsi="Arial" w:cs="Arial"/>
          <w:sz w:val="20"/>
          <w:szCs w:val="20"/>
        </w:rPr>
        <w:t xml:space="preserve">Spitzenreiter bei den europäischen Patentanmeldungen sind nach wie vor die Vereinigten Staaten, gefolgt von Deutschland, Japan, China und der Republik Korea. 43 % der Anmeldungen kamen aus den </w:t>
      </w:r>
      <w:r w:rsidRPr="009610C4" w:rsidR="66AA757E">
        <w:rPr>
          <w:rFonts w:ascii="Arial" w:hAnsi="Arial" w:cs="Arial"/>
          <w:sz w:val="20"/>
          <w:szCs w:val="20"/>
        </w:rPr>
        <w:t xml:space="preserve">39 </w:t>
      </w:r>
      <w:r w:rsidRPr="009610C4">
        <w:rPr>
          <w:rFonts w:ascii="Arial" w:hAnsi="Arial" w:cs="Arial"/>
          <w:sz w:val="20"/>
          <w:szCs w:val="20"/>
        </w:rPr>
        <w:t xml:space="preserve">Mitgliedstaaten des EPA </w:t>
      </w:r>
      <w:r w:rsidRPr="009610C4" w:rsidR="00FF1AD6">
        <w:rPr>
          <w:rFonts w:ascii="Arial" w:hAnsi="Arial" w:cs="Arial"/>
          <w:sz w:val="20"/>
          <w:szCs w:val="20"/>
        </w:rPr>
        <w:t xml:space="preserve">während </w:t>
      </w:r>
      <w:r w:rsidRPr="009610C4">
        <w:rPr>
          <w:rFonts w:ascii="Arial" w:hAnsi="Arial" w:cs="Arial"/>
          <w:sz w:val="20"/>
          <w:szCs w:val="20"/>
        </w:rPr>
        <w:t xml:space="preserve">57 % </w:t>
      </w:r>
      <w:r w:rsidRPr="009610C4" w:rsidR="6D851059">
        <w:rPr>
          <w:rFonts w:ascii="Arial" w:hAnsi="Arial" w:cs="Arial"/>
          <w:sz w:val="20"/>
          <w:szCs w:val="20"/>
        </w:rPr>
        <w:t xml:space="preserve">von </w:t>
      </w:r>
      <w:r w:rsidRPr="009610C4" w:rsidR="51D6450C">
        <w:rPr>
          <w:rFonts w:ascii="Arial" w:hAnsi="Arial" w:cs="Arial"/>
          <w:sz w:val="20"/>
          <w:szCs w:val="20"/>
        </w:rPr>
        <w:t xml:space="preserve">Anmeldern </w:t>
      </w:r>
      <w:r w:rsidRPr="009610C4" w:rsidR="1957ECB7">
        <w:rPr>
          <w:rFonts w:ascii="Arial" w:hAnsi="Arial" w:cs="Arial"/>
          <w:sz w:val="20"/>
          <w:szCs w:val="20"/>
        </w:rPr>
        <w:t>außerhalb</w:t>
      </w:r>
      <w:r w:rsidRPr="009610C4" w:rsidR="6D851059">
        <w:rPr>
          <w:rFonts w:ascii="Arial" w:hAnsi="Arial" w:cs="Arial"/>
          <w:sz w:val="20"/>
          <w:szCs w:val="20"/>
        </w:rPr>
        <w:t xml:space="preserve"> </w:t>
      </w:r>
      <w:r w:rsidRPr="009610C4" w:rsidR="1C5082AA">
        <w:rPr>
          <w:rFonts w:ascii="Arial" w:hAnsi="Arial" w:cs="Arial"/>
          <w:sz w:val="20"/>
          <w:szCs w:val="20"/>
        </w:rPr>
        <w:t xml:space="preserve">Europas </w:t>
      </w:r>
      <w:r w:rsidRPr="009610C4" w:rsidR="00FF1AD6">
        <w:rPr>
          <w:rFonts w:ascii="Arial" w:hAnsi="Arial" w:cs="Arial"/>
          <w:sz w:val="20"/>
          <w:szCs w:val="20"/>
        </w:rPr>
        <w:t>stammen</w:t>
      </w:r>
      <w:r w:rsidRPr="009610C4" w:rsidR="3AA117FE">
        <w:rPr>
          <w:rFonts w:ascii="Arial" w:hAnsi="Arial" w:cs="Arial"/>
          <w:sz w:val="20"/>
          <w:szCs w:val="20"/>
        </w:rPr>
        <w:t xml:space="preserve"> </w:t>
      </w:r>
      <w:r w:rsidRPr="009610C4" w:rsidR="3AA117FE">
        <w:rPr>
          <w:rFonts w:ascii="Arial" w:hAnsi="Arial" w:eastAsia="Arial" w:cs="Arial"/>
          <w:sz w:val="20"/>
          <w:szCs w:val="20"/>
          <w:lang w:val="de"/>
        </w:rPr>
        <w:t xml:space="preserve">(siehe Grafik </w:t>
      </w:r>
      <w:hyperlink w:history="1" r:id="rId18">
        <w:r w:rsidRPr="009610C4" w:rsidR="3AA117FE">
          <w:rPr>
            <w:rStyle w:val="Hyperlink"/>
            <w:rFonts w:ascii="Arial" w:hAnsi="Arial" w:eastAsia="Arial" w:cs="Arial"/>
            <w:i/>
            <w:iCs/>
            <w:sz w:val="20"/>
            <w:szCs w:val="20"/>
            <w:lang w:val="de"/>
          </w:rPr>
          <w:t>Ursprung der Anmeldungen</w:t>
        </w:r>
      </w:hyperlink>
      <w:r w:rsidRPr="009610C4" w:rsidR="3AA117FE">
        <w:rPr>
          <w:rFonts w:ascii="Arial" w:hAnsi="Arial" w:eastAsia="Arial" w:cs="Arial"/>
          <w:sz w:val="20"/>
          <w:szCs w:val="20"/>
          <w:lang w:val="de"/>
        </w:rPr>
        <w:t>).</w:t>
      </w:r>
      <w:r w:rsidRPr="009610C4" w:rsidR="005969A6">
        <w:rPr>
          <w:rFonts w:ascii="Arial" w:hAnsi="Arial" w:cs="Arial"/>
          <w:sz w:val="20"/>
          <w:szCs w:val="20"/>
        </w:rPr>
        <w:t xml:space="preserve"> </w:t>
      </w:r>
      <w:r w:rsidRPr="009610C4" w:rsidR="00FF1AD6">
        <w:rPr>
          <w:rFonts w:ascii="Arial" w:hAnsi="Arial" w:cs="Arial"/>
          <w:sz w:val="20"/>
          <w:szCs w:val="20"/>
        </w:rPr>
        <w:t xml:space="preserve">Besonders bemerkenswert </w:t>
      </w:r>
      <w:r w:rsidRPr="009610C4" w:rsidR="199C9A33">
        <w:rPr>
          <w:rFonts w:ascii="Arial" w:hAnsi="Arial" w:cs="Arial"/>
          <w:sz w:val="20"/>
          <w:szCs w:val="20"/>
        </w:rPr>
        <w:t>war</w:t>
      </w:r>
      <w:r w:rsidRPr="009610C4" w:rsidR="436F97A0">
        <w:rPr>
          <w:rFonts w:ascii="Arial" w:hAnsi="Arial" w:cs="Arial"/>
          <w:sz w:val="20"/>
          <w:szCs w:val="20"/>
        </w:rPr>
        <w:t xml:space="preserve"> das st</w:t>
      </w:r>
      <w:r w:rsidRPr="009610C4" w:rsidR="00FF1AD6">
        <w:rPr>
          <w:rFonts w:ascii="Arial" w:hAnsi="Arial" w:cs="Arial"/>
          <w:sz w:val="20"/>
          <w:szCs w:val="20"/>
        </w:rPr>
        <w:t>ä</w:t>
      </w:r>
      <w:r w:rsidRPr="009610C4" w:rsidR="436F97A0">
        <w:rPr>
          <w:rFonts w:ascii="Arial" w:hAnsi="Arial" w:cs="Arial"/>
          <w:sz w:val="20"/>
          <w:szCs w:val="20"/>
        </w:rPr>
        <w:t>rk</w:t>
      </w:r>
      <w:r w:rsidRPr="009610C4" w:rsidR="00FF1AD6">
        <w:rPr>
          <w:rFonts w:ascii="Arial" w:hAnsi="Arial" w:cs="Arial"/>
          <w:sz w:val="20"/>
          <w:szCs w:val="20"/>
        </w:rPr>
        <w:t>st</w:t>
      </w:r>
      <w:r w:rsidRPr="009610C4" w:rsidR="436F97A0">
        <w:rPr>
          <w:rFonts w:ascii="Arial" w:hAnsi="Arial" w:cs="Arial"/>
          <w:sz w:val="20"/>
          <w:szCs w:val="20"/>
        </w:rPr>
        <w:t xml:space="preserve">e Wachstum </w:t>
      </w:r>
      <w:r w:rsidRPr="009610C4" w:rsidR="24E16A29">
        <w:rPr>
          <w:rFonts w:ascii="Arial" w:hAnsi="Arial" w:cs="Arial"/>
          <w:sz w:val="20"/>
          <w:szCs w:val="20"/>
        </w:rPr>
        <w:t>von</w:t>
      </w:r>
      <w:r w:rsidRPr="009610C4" w:rsidR="436F97A0">
        <w:rPr>
          <w:rFonts w:ascii="Arial" w:hAnsi="Arial" w:cs="Arial"/>
          <w:sz w:val="20"/>
          <w:szCs w:val="20"/>
        </w:rPr>
        <w:t xml:space="preserve"> Patentanmeldungen</w:t>
      </w:r>
      <w:r w:rsidRPr="009610C4" w:rsidR="3B28A9D5">
        <w:rPr>
          <w:rFonts w:ascii="Arial" w:hAnsi="Arial" w:cs="Arial"/>
          <w:sz w:val="20"/>
          <w:szCs w:val="20"/>
        </w:rPr>
        <w:t xml:space="preserve"> </w:t>
      </w:r>
      <w:r w:rsidRPr="009610C4" w:rsidR="436F97A0">
        <w:rPr>
          <w:rFonts w:ascii="Arial" w:hAnsi="Arial" w:cs="Arial"/>
          <w:sz w:val="20"/>
          <w:szCs w:val="20"/>
        </w:rPr>
        <w:t xml:space="preserve">aus </w:t>
      </w:r>
      <w:r w:rsidRPr="009610C4">
        <w:rPr>
          <w:rFonts w:ascii="Arial" w:hAnsi="Arial" w:cs="Arial"/>
          <w:sz w:val="20"/>
          <w:szCs w:val="20"/>
        </w:rPr>
        <w:t>der Republik Korea (+4,2 %)</w:t>
      </w:r>
      <w:r w:rsidRPr="009610C4" w:rsidR="3F3C9751">
        <w:rPr>
          <w:rFonts w:ascii="Arial" w:hAnsi="Arial" w:cs="Arial"/>
          <w:sz w:val="20"/>
          <w:szCs w:val="20"/>
        </w:rPr>
        <w:t>.</w:t>
      </w:r>
      <w:r w:rsidRPr="009610C4">
        <w:rPr>
          <w:rFonts w:ascii="Arial" w:hAnsi="Arial" w:cs="Arial"/>
          <w:sz w:val="20"/>
          <w:szCs w:val="20"/>
        </w:rPr>
        <w:t xml:space="preserve"> </w:t>
      </w:r>
      <w:r w:rsidRPr="009610C4" w:rsidR="03F9942D">
        <w:rPr>
          <w:rFonts w:ascii="Arial" w:hAnsi="Arial" w:cs="Arial"/>
          <w:sz w:val="20"/>
          <w:szCs w:val="20"/>
        </w:rPr>
        <w:t xml:space="preserve">Aus China wurden </w:t>
      </w:r>
      <w:r w:rsidRPr="009610C4" w:rsidR="00FF1AD6">
        <w:rPr>
          <w:rFonts w:ascii="Arial" w:hAnsi="Arial" w:cs="Arial"/>
          <w:sz w:val="20"/>
          <w:szCs w:val="20"/>
        </w:rPr>
        <w:t>+</w:t>
      </w:r>
      <w:r w:rsidRPr="009610C4" w:rsidR="03F9942D">
        <w:rPr>
          <w:rFonts w:ascii="Arial" w:hAnsi="Arial" w:cs="Arial"/>
          <w:sz w:val="20"/>
          <w:szCs w:val="20"/>
        </w:rPr>
        <w:t xml:space="preserve">0,5% mehr </w:t>
      </w:r>
      <w:r w:rsidRPr="009610C4" w:rsidR="20374D23">
        <w:rPr>
          <w:rFonts w:ascii="Arial" w:hAnsi="Arial" w:cs="Arial"/>
          <w:sz w:val="20"/>
          <w:szCs w:val="20"/>
        </w:rPr>
        <w:t xml:space="preserve">Patentanmeldungen </w:t>
      </w:r>
      <w:r w:rsidRPr="009610C4" w:rsidR="260F757B">
        <w:rPr>
          <w:rFonts w:ascii="Arial" w:hAnsi="Arial" w:cs="Arial"/>
          <w:sz w:val="20"/>
          <w:szCs w:val="20"/>
        </w:rPr>
        <w:t>als 2023 eingereicht</w:t>
      </w:r>
      <w:r w:rsidRPr="009610C4" w:rsidR="7BDA7BCB">
        <w:rPr>
          <w:rFonts w:ascii="Arial" w:hAnsi="Arial" w:cs="Arial"/>
          <w:sz w:val="20"/>
          <w:szCs w:val="20"/>
        </w:rPr>
        <w:t>,</w:t>
      </w:r>
      <w:r w:rsidRPr="009610C4">
        <w:rPr>
          <w:rFonts w:ascii="Arial" w:hAnsi="Arial" w:cs="Arial"/>
          <w:sz w:val="20"/>
          <w:szCs w:val="20"/>
        </w:rPr>
        <w:t xml:space="preserve"> während Unternehmen und </w:t>
      </w:r>
      <w:proofErr w:type="spellStart"/>
      <w:r w:rsidRPr="009610C4">
        <w:rPr>
          <w:rFonts w:ascii="Arial" w:hAnsi="Arial" w:cs="Arial"/>
          <w:sz w:val="20"/>
          <w:szCs w:val="20"/>
        </w:rPr>
        <w:t>Erfinder</w:t>
      </w:r>
      <w:r w:rsidRPr="009610C4" w:rsidR="00FF1AD6">
        <w:rPr>
          <w:rFonts w:ascii="Arial" w:hAnsi="Arial" w:cs="Arial"/>
          <w:sz w:val="20"/>
          <w:szCs w:val="20"/>
        </w:rPr>
        <w:t>:</w:t>
      </w:r>
      <w:r w:rsidRPr="009610C4">
        <w:rPr>
          <w:rFonts w:ascii="Arial" w:hAnsi="Arial" w:cs="Arial"/>
          <w:sz w:val="20"/>
          <w:szCs w:val="20"/>
        </w:rPr>
        <w:t>innen</w:t>
      </w:r>
      <w:proofErr w:type="spellEnd"/>
      <w:r w:rsidRPr="009610C4">
        <w:rPr>
          <w:rFonts w:ascii="Arial" w:hAnsi="Arial" w:cs="Arial"/>
          <w:sz w:val="20"/>
          <w:szCs w:val="20"/>
        </w:rPr>
        <w:t xml:space="preserve"> aus den USA (-0,8 %) und Japan (-2,4 %) </w:t>
      </w:r>
      <w:r w:rsidRPr="009610C4" w:rsidR="1806735E">
        <w:rPr>
          <w:rFonts w:ascii="Arial" w:hAnsi="Arial" w:cs="Arial"/>
          <w:sz w:val="20"/>
          <w:szCs w:val="20"/>
        </w:rPr>
        <w:t xml:space="preserve">im Vergleich zu den Vorjahren </w:t>
      </w:r>
      <w:r w:rsidRPr="009610C4">
        <w:rPr>
          <w:rFonts w:ascii="Arial" w:hAnsi="Arial" w:cs="Arial"/>
          <w:sz w:val="20"/>
          <w:szCs w:val="20"/>
        </w:rPr>
        <w:t>weniger Anmeldungen einreichten.</w:t>
      </w:r>
      <w:r w:rsidR="009610C4">
        <w:rPr>
          <w:rFonts w:ascii="Arial" w:hAnsi="Arial" w:cs="Arial"/>
          <w:sz w:val="20"/>
          <w:szCs w:val="20"/>
        </w:rPr>
        <w:t xml:space="preserve"> </w:t>
      </w:r>
      <w:r w:rsidRPr="009610C4">
        <w:rPr>
          <w:rFonts w:ascii="Arial" w:hAnsi="Arial" w:cs="Arial"/>
          <w:sz w:val="20"/>
          <w:szCs w:val="20"/>
        </w:rPr>
        <w:t xml:space="preserve">Die </w:t>
      </w:r>
      <w:r w:rsidRPr="009610C4" w:rsidR="1B6A399B">
        <w:rPr>
          <w:rFonts w:ascii="Arial" w:hAnsi="Arial" w:cs="Arial"/>
          <w:sz w:val="20"/>
          <w:szCs w:val="20"/>
        </w:rPr>
        <w:t xml:space="preserve">Zahl der </w:t>
      </w:r>
      <w:r w:rsidRPr="009610C4">
        <w:rPr>
          <w:rFonts w:ascii="Arial" w:hAnsi="Arial" w:cs="Arial"/>
          <w:sz w:val="20"/>
          <w:szCs w:val="20"/>
        </w:rPr>
        <w:t>Patentanmeldungen aus den 39 Mitgliedstaaten des EPA stieg</w:t>
      </w:r>
      <w:r w:rsidRPr="009610C4" w:rsidR="652895F6">
        <w:rPr>
          <w:rFonts w:ascii="Arial" w:hAnsi="Arial" w:cs="Arial"/>
          <w:sz w:val="20"/>
          <w:szCs w:val="20"/>
        </w:rPr>
        <w:t xml:space="preserve"> </w:t>
      </w:r>
      <w:r w:rsidRPr="009610C4" w:rsidR="1DB5507A">
        <w:rPr>
          <w:rFonts w:ascii="Arial" w:hAnsi="Arial" w:cs="Arial"/>
          <w:sz w:val="20"/>
          <w:szCs w:val="20"/>
        </w:rPr>
        <w:t>d</w:t>
      </w:r>
      <w:r w:rsidRPr="009610C4" w:rsidR="005969A6">
        <w:rPr>
          <w:rFonts w:ascii="Arial" w:hAnsi="Arial" w:cs="Arial"/>
          <w:sz w:val="20"/>
          <w:szCs w:val="20"/>
        </w:rPr>
        <w:t xml:space="preserve">ank der </w:t>
      </w:r>
      <w:r w:rsidRPr="009610C4">
        <w:rPr>
          <w:rFonts w:ascii="Arial" w:hAnsi="Arial" w:cs="Arial"/>
          <w:sz w:val="20"/>
          <w:szCs w:val="20"/>
        </w:rPr>
        <w:t xml:space="preserve">Zuwächse </w:t>
      </w:r>
      <w:r w:rsidRPr="009610C4" w:rsidR="005969A6">
        <w:rPr>
          <w:rFonts w:ascii="Arial" w:hAnsi="Arial" w:cs="Arial"/>
          <w:sz w:val="20"/>
          <w:szCs w:val="20"/>
        </w:rPr>
        <w:t>a</w:t>
      </w:r>
      <w:r w:rsidRPr="009610C4">
        <w:rPr>
          <w:rFonts w:ascii="Arial" w:hAnsi="Arial" w:cs="Arial"/>
          <w:sz w:val="20"/>
          <w:szCs w:val="20"/>
        </w:rPr>
        <w:t xml:space="preserve">us der Schweiz (+3,2 %) und dem Vereinigten Königreich (+3,1 %) um +0,3 %, während </w:t>
      </w:r>
      <w:r w:rsidRPr="009610C4" w:rsidR="00FF1AD6">
        <w:rPr>
          <w:rFonts w:ascii="Arial" w:hAnsi="Arial" w:cs="Arial"/>
          <w:sz w:val="20"/>
          <w:szCs w:val="20"/>
        </w:rPr>
        <w:t xml:space="preserve">die Anmeldungen </w:t>
      </w:r>
      <w:r w:rsidRPr="009610C4" w:rsidR="6B8AF2FF">
        <w:rPr>
          <w:rFonts w:ascii="Arial" w:hAnsi="Arial" w:cs="Arial"/>
          <w:sz w:val="20"/>
          <w:szCs w:val="20"/>
        </w:rPr>
        <w:t xml:space="preserve">aus den </w:t>
      </w:r>
      <w:r w:rsidRPr="009610C4">
        <w:rPr>
          <w:rFonts w:ascii="Arial" w:hAnsi="Arial" w:cs="Arial"/>
          <w:sz w:val="20"/>
          <w:szCs w:val="20"/>
        </w:rPr>
        <w:t>27</w:t>
      </w:r>
      <w:r w:rsidRPr="009610C4" w:rsidR="30FC4E50">
        <w:rPr>
          <w:rFonts w:ascii="Arial" w:hAnsi="Arial" w:cs="Arial"/>
          <w:sz w:val="20"/>
          <w:szCs w:val="20"/>
        </w:rPr>
        <w:t xml:space="preserve"> </w:t>
      </w:r>
      <w:r w:rsidRPr="009610C4">
        <w:rPr>
          <w:rFonts w:ascii="Arial" w:hAnsi="Arial" w:cs="Arial"/>
          <w:sz w:val="20"/>
          <w:szCs w:val="20"/>
        </w:rPr>
        <w:t xml:space="preserve">Mitgliedstaaten der EU </w:t>
      </w:r>
      <w:r w:rsidRPr="009610C4" w:rsidR="00FF1AD6">
        <w:rPr>
          <w:rFonts w:ascii="Arial" w:hAnsi="Arial" w:cs="Arial"/>
          <w:sz w:val="20"/>
          <w:szCs w:val="20"/>
        </w:rPr>
        <w:t>um -</w:t>
      </w:r>
      <w:r w:rsidRPr="009610C4">
        <w:rPr>
          <w:rFonts w:ascii="Arial" w:hAnsi="Arial" w:cs="Arial"/>
          <w:sz w:val="20"/>
          <w:szCs w:val="20"/>
        </w:rPr>
        <w:t xml:space="preserve">0,4 % </w:t>
      </w:r>
      <w:r w:rsidRPr="009610C4" w:rsidR="00FF1AD6">
        <w:rPr>
          <w:rFonts w:ascii="Arial" w:hAnsi="Arial" w:cs="Arial"/>
          <w:sz w:val="20"/>
          <w:szCs w:val="20"/>
        </w:rPr>
        <w:t>zurückgingen</w:t>
      </w:r>
      <w:r w:rsidRPr="009610C4">
        <w:rPr>
          <w:rFonts w:ascii="Arial" w:hAnsi="Arial" w:cs="Arial"/>
          <w:sz w:val="20"/>
          <w:szCs w:val="20"/>
        </w:rPr>
        <w:t xml:space="preserve">. Die beiden europäischen Spitzenreiter bei </w:t>
      </w:r>
      <w:r w:rsidRPr="009610C4" w:rsidR="00D245A5">
        <w:rPr>
          <w:rFonts w:ascii="Arial" w:hAnsi="Arial" w:cs="Arial"/>
          <w:sz w:val="20"/>
          <w:szCs w:val="20"/>
        </w:rPr>
        <w:t xml:space="preserve">den </w:t>
      </w:r>
      <w:r w:rsidRPr="009610C4">
        <w:rPr>
          <w:rFonts w:ascii="Arial" w:hAnsi="Arial" w:cs="Arial"/>
          <w:sz w:val="20"/>
          <w:szCs w:val="20"/>
        </w:rPr>
        <w:t xml:space="preserve">Einreichungen, Deutschland (+0,4 %) und Frankreich (+1,1 %), </w:t>
      </w:r>
      <w:r w:rsidRPr="009610C4" w:rsidR="00FF1AD6">
        <w:rPr>
          <w:rFonts w:ascii="Arial" w:hAnsi="Arial" w:cs="Arial"/>
          <w:sz w:val="20"/>
          <w:szCs w:val="20"/>
        </w:rPr>
        <w:t xml:space="preserve">verzeichneten </w:t>
      </w:r>
      <w:r w:rsidRPr="009610C4">
        <w:rPr>
          <w:rFonts w:ascii="Arial" w:hAnsi="Arial" w:cs="Arial"/>
          <w:sz w:val="20"/>
          <w:szCs w:val="20"/>
        </w:rPr>
        <w:t xml:space="preserve">2024 </w:t>
      </w:r>
      <w:r w:rsidRPr="009610C4" w:rsidR="00FF1AD6">
        <w:rPr>
          <w:rFonts w:ascii="Arial" w:hAnsi="Arial" w:cs="Arial"/>
          <w:sz w:val="20"/>
          <w:szCs w:val="20"/>
        </w:rPr>
        <w:t xml:space="preserve">einen </w:t>
      </w:r>
      <w:r w:rsidRPr="009610C4">
        <w:rPr>
          <w:rFonts w:ascii="Arial" w:hAnsi="Arial" w:cs="Arial"/>
          <w:sz w:val="20"/>
          <w:szCs w:val="20"/>
        </w:rPr>
        <w:t>leicht</w:t>
      </w:r>
      <w:r w:rsidRPr="009610C4" w:rsidR="00FF1AD6">
        <w:rPr>
          <w:rFonts w:ascii="Arial" w:hAnsi="Arial" w:cs="Arial"/>
          <w:sz w:val="20"/>
          <w:szCs w:val="20"/>
        </w:rPr>
        <w:t>en</w:t>
      </w:r>
      <w:r w:rsidRPr="009610C4">
        <w:rPr>
          <w:rFonts w:ascii="Arial" w:hAnsi="Arial" w:cs="Arial"/>
          <w:sz w:val="20"/>
          <w:szCs w:val="20"/>
        </w:rPr>
        <w:t xml:space="preserve"> </w:t>
      </w:r>
      <w:r w:rsidRPr="009610C4" w:rsidR="00FF1AD6">
        <w:rPr>
          <w:rFonts w:ascii="Arial" w:hAnsi="Arial" w:cs="Arial"/>
          <w:sz w:val="20"/>
          <w:szCs w:val="20"/>
        </w:rPr>
        <w:t>Anstieg</w:t>
      </w:r>
      <w:r w:rsidRPr="009610C4">
        <w:rPr>
          <w:rFonts w:ascii="Arial" w:hAnsi="Arial" w:cs="Arial"/>
          <w:sz w:val="20"/>
          <w:szCs w:val="20"/>
        </w:rPr>
        <w:t>.</w:t>
      </w:r>
      <w:r w:rsidRPr="009610C4">
        <w:rPr>
          <w:rFonts w:ascii="Arial" w:hAnsi="Arial" w:cs="Arial"/>
          <w:color w:val="000000" w:themeColor="text1"/>
          <w:sz w:val="20"/>
          <w:szCs w:val="20"/>
        </w:rPr>
        <w:t xml:space="preserve"> </w:t>
      </w:r>
      <w:r w:rsidRPr="009610C4">
        <w:rPr>
          <w:rFonts w:ascii="Arial" w:hAnsi="Arial" w:cs="Arial"/>
          <w:sz w:val="20"/>
          <w:szCs w:val="20"/>
        </w:rPr>
        <w:t>Die Schweiz</w:t>
      </w:r>
      <w:r w:rsidRPr="009610C4" w:rsidR="00FF1AD6">
        <w:rPr>
          <w:rFonts w:ascii="Arial" w:hAnsi="Arial" w:cs="Arial"/>
          <w:sz w:val="20"/>
          <w:szCs w:val="20"/>
        </w:rPr>
        <w:t xml:space="preserve"> </w:t>
      </w:r>
      <w:r w:rsidRPr="009610C4" w:rsidR="546003E4">
        <w:rPr>
          <w:rFonts w:ascii="Arial" w:hAnsi="Arial" w:cs="Arial"/>
          <w:sz w:val="20"/>
          <w:szCs w:val="20"/>
        </w:rPr>
        <w:t xml:space="preserve">bleibt </w:t>
      </w:r>
      <w:r w:rsidRPr="009610C4" w:rsidR="00FF1AD6">
        <w:rPr>
          <w:rFonts w:ascii="Arial" w:hAnsi="Arial" w:cs="Arial"/>
          <w:sz w:val="20"/>
          <w:szCs w:val="20"/>
        </w:rPr>
        <w:t>führend bei den Patent</w:t>
      </w:r>
      <w:r w:rsidRPr="009610C4" w:rsidR="12CF8BF2">
        <w:rPr>
          <w:rFonts w:ascii="Arial" w:hAnsi="Arial" w:cs="Arial"/>
          <w:sz w:val="20"/>
          <w:szCs w:val="20"/>
        </w:rPr>
        <w:t>anmeldung</w:t>
      </w:r>
      <w:r w:rsidRPr="009610C4" w:rsidR="00FF1AD6">
        <w:rPr>
          <w:rFonts w:ascii="Arial" w:hAnsi="Arial" w:cs="Arial"/>
          <w:sz w:val="20"/>
          <w:szCs w:val="20"/>
        </w:rPr>
        <w:t>en pro Kopf</w:t>
      </w:r>
      <w:r w:rsidRPr="009610C4">
        <w:rPr>
          <w:rFonts w:ascii="Arial" w:hAnsi="Arial" w:cs="Arial"/>
          <w:sz w:val="20"/>
          <w:szCs w:val="20"/>
        </w:rPr>
        <w:t xml:space="preserve">, gefolgt von mehreren </w:t>
      </w:r>
      <w:r w:rsidRPr="009610C4" w:rsidR="00FF1AD6">
        <w:rPr>
          <w:rFonts w:ascii="Arial" w:hAnsi="Arial" w:cs="Arial"/>
          <w:sz w:val="20"/>
          <w:szCs w:val="20"/>
        </w:rPr>
        <w:t xml:space="preserve">nordischen </w:t>
      </w:r>
      <w:r w:rsidRPr="009610C4">
        <w:rPr>
          <w:rFonts w:ascii="Arial" w:hAnsi="Arial" w:cs="Arial"/>
          <w:sz w:val="20"/>
          <w:szCs w:val="20"/>
        </w:rPr>
        <w:t xml:space="preserve">Ländern </w:t>
      </w:r>
      <w:r w:rsidRPr="009610C4" w:rsidR="58E3756E">
        <w:rPr>
          <w:rFonts w:ascii="Arial" w:hAnsi="Arial" w:eastAsia="Arial" w:cs="Arial"/>
          <w:sz w:val="20"/>
          <w:szCs w:val="20"/>
          <w:lang w:val="de"/>
        </w:rPr>
        <w:t xml:space="preserve">(siehe Grafik </w:t>
      </w:r>
      <w:hyperlink r:id="rId19">
        <w:r w:rsidRPr="009610C4" w:rsidR="58E3756E">
          <w:rPr>
            <w:rStyle w:val="Hyperlink"/>
            <w:rFonts w:ascii="Arial" w:hAnsi="Arial" w:eastAsia="Arial" w:cs="Arial"/>
            <w:i/>
            <w:iCs/>
            <w:sz w:val="20"/>
            <w:szCs w:val="20"/>
            <w:lang w:val="de"/>
          </w:rPr>
          <w:t>Patentanmeldungen pro Million Einwohner</w:t>
        </w:r>
      </w:hyperlink>
      <w:r w:rsidRPr="009610C4" w:rsidR="58E3756E">
        <w:rPr>
          <w:rFonts w:ascii="Arial" w:hAnsi="Arial" w:eastAsia="Arial" w:cs="Arial"/>
          <w:i/>
          <w:iCs/>
          <w:sz w:val="20"/>
          <w:szCs w:val="20"/>
          <w:lang w:val="de"/>
        </w:rPr>
        <w:t xml:space="preserve">). </w:t>
      </w:r>
    </w:p>
    <w:p w:rsidRPr="009610C4" w:rsidR="58E3756E" w:rsidP="7DD34939" w:rsidRDefault="58E3756E" w14:paraId="2773AE8A" w14:textId="5F8A4783">
      <w:pPr>
        <w:spacing w:before="240" w:after="240" w:line="257" w:lineRule="auto"/>
        <w:jc w:val="both"/>
        <w:rPr>
          <w:sz w:val="20"/>
          <w:szCs w:val="20"/>
        </w:rPr>
      </w:pPr>
      <w:r w:rsidRPr="009610C4">
        <w:rPr>
          <w:noProof/>
          <w:sz w:val="20"/>
          <w:szCs w:val="20"/>
        </w:rPr>
        <w:drawing>
          <wp:inline distT="0" distB="0" distL="0" distR="0" wp14:anchorId="06472225" wp14:editId="4B8E2F84">
            <wp:extent cx="3353091" cy="2517866"/>
            <wp:effectExtent l="0" t="0" r="0" b="0"/>
            <wp:docPr id="803242510" name="Picture 80324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353091" cy="2517866"/>
                    </a:xfrm>
                    <a:prstGeom prst="rect">
                      <a:avLst/>
                    </a:prstGeom>
                  </pic:spPr>
                </pic:pic>
              </a:graphicData>
            </a:graphic>
          </wp:inline>
        </w:drawing>
      </w:r>
    </w:p>
    <w:p w:rsidRPr="009610C4" w:rsidR="00153979" w:rsidP="4FB3ADFC" w:rsidRDefault="30FC4E50" w14:paraId="0044FA74" w14:textId="76F2C8DD">
      <w:pPr>
        <w:pStyle w:val="NormalWeb"/>
        <w:spacing w:line="259" w:lineRule="auto"/>
        <w:jc w:val="both"/>
        <w:rPr>
          <w:rStyle w:val="normaltextrun"/>
          <w:rFonts w:ascii="Arial" w:hAnsi="Arial" w:eastAsia="Arial" w:cs="Arial"/>
          <w:b/>
          <w:bCs/>
          <w:sz w:val="20"/>
          <w:szCs w:val="20"/>
        </w:rPr>
      </w:pPr>
      <w:r w:rsidRPr="009610C4">
        <w:rPr>
          <w:rStyle w:val="normaltextrun"/>
          <w:rFonts w:ascii="Arial" w:hAnsi="Arial" w:cs="Arial"/>
          <w:b/>
          <w:bCs/>
          <w:sz w:val="20"/>
          <w:szCs w:val="20"/>
        </w:rPr>
        <w:t xml:space="preserve">Vielfältige </w:t>
      </w:r>
      <w:bookmarkStart w:name="_heading=h.2s8eyo1" w:id="7"/>
      <w:bookmarkStart w:name="_Hlk161216508" w:id="8"/>
      <w:bookmarkEnd w:id="7"/>
      <w:bookmarkEnd w:id="8"/>
      <w:r w:rsidRPr="009610C4" w:rsidR="00CF6984">
        <w:rPr>
          <w:rStyle w:val="normaltextrun"/>
          <w:rFonts w:ascii="Arial" w:hAnsi="Arial" w:cs="Arial"/>
          <w:b/>
          <w:bCs/>
          <w:sz w:val="20"/>
          <w:szCs w:val="20"/>
        </w:rPr>
        <w:t>Innovationsquellen</w:t>
      </w:r>
      <w:r w:rsidRPr="009610C4" w:rsidR="410EF862">
        <w:rPr>
          <w:rStyle w:val="normaltextrun"/>
          <w:rFonts w:ascii="Arial" w:hAnsi="Arial" w:cs="Arial"/>
          <w:b/>
          <w:bCs/>
          <w:sz w:val="20"/>
          <w:szCs w:val="20"/>
        </w:rPr>
        <w:t xml:space="preserve">: Großunternehmen </w:t>
      </w:r>
      <w:r w:rsidRPr="009610C4" w:rsidR="21D5511B">
        <w:rPr>
          <w:rStyle w:val="normaltextrun"/>
          <w:rFonts w:ascii="Arial" w:hAnsi="Arial" w:cs="Arial"/>
          <w:b/>
          <w:bCs/>
          <w:sz w:val="20"/>
          <w:szCs w:val="20"/>
        </w:rPr>
        <w:t xml:space="preserve">leisteten </w:t>
      </w:r>
      <w:r w:rsidRPr="009610C4" w:rsidR="00CF6984">
        <w:rPr>
          <w:rStyle w:val="normaltextrun"/>
          <w:rFonts w:ascii="Arial" w:hAnsi="Arial" w:cs="Arial"/>
          <w:b/>
          <w:bCs/>
          <w:sz w:val="20"/>
          <w:szCs w:val="20"/>
        </w:rPr>
        <w:t xml:space="preserve">einen </w:t>
      </w:r>
      <w:r w:rsidRPr="009610C4" w:rsidR="21D5511B">
        <w:rPr>
          <w:rStyle w:val="normaltextrun"/>
          <w:rFonts w:ascii="Arial" w:hAnsi="Arial" w:cs="Arial"/>
          <w:b/>
          <w:bCs/>
          <w:sz w:val="20"/>
          <w:szCs w:val="20"/>
        </w:rPr>
        <w:t>wesentlichen</w:t>
      </w:r>
      <w:r w:rsidRPr="009610C4" w:rsidR="410EF862">
        <w:rPr>
          <w:rStyle w:val="normaltextrun"/>
          <w:rFonts w:ascii="Arial" w:hAnsi="Arial" w:cs="Arial"/>
          <w:b/>
          <w:bCs/>
          <w:sz w:val="20"/>
          <w:szCs w:val="20"/>
        </w:rPr>
        <w:t xml:space="preserve"> Beitrag </w:t>
      </w:r>
    </w:p>
    <w:p w:rsidRPr="009610C4" w:rsidR="00CF6984" w:rsidP="00F225A6" w:rsidRDefault="1C6513D8" w14:paraId="031FE6E5" w14:textId="7E566EFB">
      <w:pPr>
        <w:jc w:val="both"/>
        <w:rPr>
          <w:rStyle w:val="normaltextrun"/>
          <w:sz w:val="20"/>
          <w:szCs w:val="20"/>
        </w:rPr>
      </w:pPr>
      <w:r w:rsidRPr="009610C4">
        <w:rPr>
          <w:b/>
          <w:bCs/>
          <w:sz w:val="20"/>
          <w:szCs w:val="20"/>
        </w:rPr>
        <w:t xml:space="preserve">Samsung </w:t>
      </w:r>
      <w:r w:rsidRPr="009610C4">
        <w:rPr>
          <w:sz w:val="20"/>
          <w:szCs w:val="20"/>
        </w:rPr>
        <w:t xml:space="preserve">war im Jahr 2024 der neue </w:t>
      </w:r>
      <w:r w:rsidRPr="009610C4" w:rsidR="30FC4E50">
        <w:rPr>
          <w:sz w:val="20"/>
          <w:szCs w:val="20"/>
        </w:rPr>
        <w:t>Spitzena</w:t>
      </w:r>
      <w:r w:rsidRPr="009610C4">
        <w:rPr>
          <w:sz w:val="20"/>
          <w:szCs w:val="20"/>
        </w:rPr>
        <w:t xml:space="preserve">nmelder beim EPA (nachdem </w:t>
      </w:r>
      <w:r w:rsidRPr="009610C4" w:rsidR="30FC4E50">
        <w:rPr>
          <w:sz w:val="20"/>
          <w:szCs w:val="20"/>
        </w:rPr>
        <w:t xml:space="preserve">es zuletzt </w:t>
      </w:r>
      <w:r w:rsidRPr="009610C4" w:rsidR="00FB055D">
        <w:rPr>
          <w:sz w:val="20"/>
          <w:szCs w:val="20"/>
        </w:rPr>
        <w:t xml:space="preserve">im Jahr 2020 </w:t>
      </w:r>
      <w:r w:rsidRPr="009610C4" w:rsidR="30FC4E50">
        <w:rPr>
          <w:sz w:val="20"/>
          <w:szCs w:val="20"/>
        </w:rPr>
        <w:t xml:space="preserve">den </w:t>
      </w:r>
      <w:r w:rsidRPr="009610C4">
        <w:rPr>
          <w:sz w:val="20"/>
          <w:szCs w:val="20"/>
        </w:rPr>
        <w:t xml:space="preserve">Spitzenplatz </w:t>
      </w:r>
      <w:r w:rsidRPr="009610C4" w:rsidR="30FC4E50">
        <w:rPr>
          <w:sz w:val="20"/>
          <w:szCs w:val="20"/>
        </w:rPr>
        <w:t>innehatte</w:t>
      </w:r>
      <w:r w:rsidRPr="009610C4">
        <w:rPr>
          <w:sz w:val="20"/>
          <w:szCs w:val="20"/>
        </w:rPr>
        <w:t xml:space="preserve">), </w:t>
      </w:r>
      <w:r w:rsidRPr="009610C4">
        <w:rPr>
          <w:b/>
          <w:bCs/>
          <w:sz w:val="20"/>
          <w:szCs w:val="20"/>
        </w:rPr>
        <w:t>Huawei</w:t>
      </w:r>
      <w:r w:rsidRPr="009610C4">
        <w:rPr>
          <w:sz w:val="20"/>
          <w:szCs w:val="20"/>
        </w:rPr>
        <w:t xml:space="preserve"> fiel auf Platz zwei, gefolgt von</w:t>
      </w:r>
      <w:r w:rsidRPr="009610C4">
        <w:rPr>
          <w:b/>
          <w:bCs/>
          <w:sz w:val="20"/>
          <w:szCs w:val="20"/>
        </w:rPr>
        <w:t xml:space="preserve"> LG, Qualcomm </w:t>
      </w:r>
      <w:r w:rsidRPr="009610C4">
        <w:rPr>
          <w:sz w:val="20"/>
          <w:szCs w:val="20"/>
        </w:rPr>
        <w:t xml:space="preserve">und </w:t>
      </w:r>
      <w:r w:rsidRPr="009610C4">
        <w:rPr>
          <w:b/>
          <w:bCs/>
          <w:sz w:val="20"/>
          <w:szCs w:val="20"/>
        </w:rPr>
        <w:t>RTX</w:t>
      </w:r>
      <w:r w:rsidRPr="009610C4">
        <w:rPr>
          <w:sz w:val="20"/>
          <w:szCs w:val="20"/>
        </w:rPr>
        <w:t>.</w:t>
      </w:r>
      <w:r w:rsidRPr="009610C4">
        <w:rPr>
          <w:rStyle w:val="normaltextrun"/>
          <w:sz w:val="20"/>
          <w:szCs w:val="20"/>
        </w:rPr>
        <w:t xml:space="preserve"> </w:t>
      </w:r>
      <w:r w:rsidRPr="009610C4" w:rsidR="00CF6984">
        <w:rPr>
          <w:sz w:val="20"/>
          <w:szCs w:val="20"/>
        </w:rPr>
        <w:t>Die</w:t>
      </w:r>
      <w:r w:rsidRPr="009610C4">
        <w:rPr>
          <w:sz w:val="20"/>
          <w:szCs w:val="20"/>
        </w:rPr>
        <w:t xml:space="preserve"> Top 10 </w:t>
      </w:r>
      <w:r w:rsidRPr="009610C4" w:rsidR="427744FA">
        <w:rPr>
          <w:sz w:val="20"/>
          <w:szCs w:val="20"/>
        </w:rPr>
        <w:t>Anmelder</w:t>
      </w:r>
      <w:r w:rsidRPr="009610C4" w:rsidR="00CF6984">
        <w:rPr>
          <w:sz w:val="20"/>
          <w:szCs w:val="20"/>
        </w:rPr>
        <w:t xml:space="preserve">umfassen </w:t>
      </w:r>
      <w:r w:rsidRPr="009610C4">
        <w:rPr>
          <w:sz w:val="20"/>
          <w:szCs w:val="20"/>
        </w:rPr>
        <w:t>vier</w:t>
      </w:r>
      <w:r w:rsidRPr="009610C4">
        <w:rPr>
          <w:rStyle w:val="normaltextrun"/>
          <w:sz w:val="20"/>
          <w:szCs w:val="20"/>
        </w:rPr>
        <w:t xml:space="preserve"> Unternehmen aus Europa</w:t>
      </w:r>
      <w:r w:rsidRPr="009610C4">
        <w:rPr>
          <w:sz w:val="20"/>
          <w:szCs w:val="20"/>
        </w:rPr>
        <w:t xml:space="preserve">, </w:t>
      </w:r>
      <w:r w:rsidRPr="009610C4">
        <w:rPr>
          <w:rStyle w:val="normaltextrun"/>
          <w:sz w:val="20"/>
          <w:szCs w:val="20"/>
        </w:rPr>
        <w:t xml:space="preserve">zwei aus der Republik Korea, zwei aus den USA und jeweils eines aus China und Japan. </w:t>
      </w:r>
    </w:p>
    <w:p w:rsidRPr="009610C4" w:rsidR="00723080" w:rsidP="00F225A6" w:rsidRDefault="414E6684" w14:paraId="38E632D0" w14:textId="38A1BA40">
      <w:pPr>
        <w:jc w:val="both"/>
        <w:rPr>
          <w:sz w:val="20"/>
          <w:szCs w:val="20"/>
        </w:rPr>
      </w:pPr>
      <w:r w:rsidRPr="009610C4">
        <w:rPr>
          <w:noProof/>
          <w:sz w:val="20"/>
          <w:szCs w:val="20"/>
        </w:rPr>
        <w:drawing>
          <wp:inline distT="0" distB="0" distL="0" distR="0" wp14:anchorId="3606D08F" wp14:editId="152FC1DA">
            <wp:extent cx="3237257" cy="2426418"/>
            <wp:effectExtent l="0" t="0" r="0" b="0"/>
            <wp:docPr id="1454185633" name="Picture 145418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237257" cy="2426418"/>
                    </a:xfrm>
                    <a:prstGeom prst="rect">
                      <a:avLst/>
                    </a:prstGeom>
                  </pic:spPr>
                </pic:pic>
              </a:graphicData>
            </a:graphic>
          </wp:inline>
        </w:drawing>
      </w:r>
    </w:p>
    <w:p w:rsidRPr="009610C4" w:rsidR="00CF0EC8" w:rsidP="00F225A6" w:rsidRDefault="00CF0EC8" w14:paraId="127D3469" w14:textId="77777777">
      <w:pPr>
        <w:jc w:val="both"/>
        <w:rPr>
          <w:b/>
          <w:sz w:val="20"/>
          <w:szCs w:val="20"/>
        </w:rPr>
      </w:pPr>
    </w:p>
    <w:p w:rsidRPr="009610C4" w:rsidR="00EC5BBC" w:rsidP="00EC5BBC" w:rsidRDefault="6DF34264" w14:paraId="06B2FFB4" w14:textId="332F9D6B">
      <w:pPr>
        <w:jc w:val="both"/>
        <w:rPr>
          <w:b/>
          <w:bCs/>
          <w:sz w:val="20"/>
          <w:szCs w:val="20"/>
        </w:rPr>
      </w:pPr>
      <w:bookmarkStart w:name="_Hlk126926919" w:id="9"/>
      <w:r w:rsidRPr="009610C4">
        <w:rPr>
          <w:b/>
          <w:bCs/>
          <w:sz w:val="20"/>
          <w:szCs w:val="20"/>
        </w:rPr>
        <w:t xml:space="preserve">Kleine Unternehmen nutzen das Patentsystem zur Innovationsförderung </w:t>
      </w:r>
    </w:p>
    <w:p w:rsidR="00EC5BBC" w:rsidP="001639CF" w:rsidRDefault="001210EC" w14:paraId="28AE07BE" w14:textId="4D06EEF8">
      <w:pPr>
        <w:pBdr>
          <w:top w:val="nil"/>
          <w:left w:val="nil"/>
          <w:bottom w:val="nil"/>
          <w:right w:val="nil"/>
          <w:between w:val="nil"/>
        </w:pBdr>
        <w:jc w:val="both"/>
        <w:rPr>
          <w:sz w:val="20"/>
          <w:szCs w:val="20"/>
        </w:rPr>
      </w:pPr>
      <w:r>
        <w:rPr>
          <w:color w:val="000000" w:themeColor="text1"/>
          <w:sz w:val="20"/>
          <w:szCs w:val="20"/>
          <w:highlight w:val="white"/>
        </w:rPr>
        <w:br/>
      </w:r>
      <w:r w:rsidRPr="009610C4" w:rsidR="6DF34264">
        <w:rPr>
          <w:color w:val="000000" w:themeColor="text1"/>
          <w:sz w:val="20"/>
          <w:szCs w:val="20"/>
          <w:highlight w:val="white"/>
        </w:rPr>
        <w:t xml:space="preserve">Im </w:t>
      </w:r>
      <w:r w:rsidRPr="009610C4" w:rsidR="6DF34264">
        <w:rPr>
          <w:color w:val="000000" w:themeColor="text1"/>
          <w:sz w:val="20"/>
          <w:szCs w:val="20"/>
        </w:rPr>
        <w:t xml:space="preserve">Jahr 2024 </w:t>
      </w:r>
      <w:r w:rsidRPr="009610C4" w:rsidR="00CF6984">
        <w:rPr>
          <w:color w:val="000000" w:themeColor="text1"/>
          <w:sz w:val="20"/>
          <w:szCs w:val="20"/>
        </w:rPr>
        <w:t xml:space="preserve">stammten </w:t>
      </w:r>
      <w:r w:rsidRPr="009610C4" w:rsidR="4B5400B1">
        <w:rPr>
          <w:color w:val="000000" w:themeColor="text1"/>
          <w:sz w:val="20"/>
          <w:szCs w:val="20"/>
        </w:rPr>
        <w:t>22</w:t>
      </w:r>
      <w:r w:rsidRPr="009610C4" w:rsidR="6DF34264">
        <w:rPr>
          <w:color w:val="000000" w:themeColor="text1"/>
          <w:sz w:val="20"/>
          <w:szCs w:val="20"/>
        </w:rPr>
        <w:t xml:space="preserve">% aller Patentanmeldungen </w:t>
      </w:r>
      <w:r w:rsidRPr="009610C4" w:rsidR="00CF6984">
        <w:rPr>
          <w:color w:val="000000" w:themeColor="text1"/>
          <w:sz w:val="20"/>
          <w:szCs w:val="20"/>
        </w:rPr>
        <w:t xml:space="preserve">bei EPA </w:t>
      </w:r>
      <w:r w:rsidRPr="009610C4" w:rsidR="6DF34264">
        <w:rPr>
          <w:color w:val="000000" w:themeColor="text1"/>
          <w:sz w:val="20"/>
          <w:szCs w:val="20"/>
        </w:rPr>
        <w:t xml:space="preserve">aus Europa von Einzelpersonen bzw. </w:t>
      </w:r>
      <w:r w:rsidR="00021F1B">
        <w:rPr>
          <w:color w:val="000000" w:themeColor="text1"/>
          <w:sz w:val="20"/>
          <w:szCs w:val="20"/>
        </w:rPr>
        <w:t xml:space="preserve">kleine und mittlere </w:t>
      </w:r>
      <w:r w:rsidRPr="009610C4" w:rsidR="00021F1B">
        <w:rPr>
          <w:color w:val="000000" w:themeColor="text1"/>
          <w:sz w:val="20"/>
          <w:szCs w:val="20"/>
        </w:rPr>
        <w:t xml:space="preserve">Unternehmen </w:t>
      </w:r>
      <w:r w:rsidR="00021F1B">
        <w:rPr>
          <w:color w:val="000000" w:themeColor="text1"/>
          <w:sz w:val="20"/>
          <w:szCs w:val="20"/>
        </w:rPr>
        <w:t>(</w:t>
      </w:r>
      <w:r w:rsidRPr="009610C4" w:rsidR="00CF6984">
        <w:rPr>
          <w:color w:val="000000" w:themeColor="text1"/>
          <w:sz w:val="20"/>
          <w:szCs w:val="20"/>
        </w:rPr>
        <w:t>KMU</w:t>
      </w:r>
      <w:r w:rsidR="00021F1B">
        <w:rPr>
          <w:color w:val="000000" w:themeColor="text1"/>
          <w:sz w:val="20"/>
          <w:szCs w:val="20"/>
        </w:rPr>
        <w:t>)</w:t>
      </w:r>
      <w:r w:rsidR="000B08C9">
        <w:rPr>
          <w:color w:val="000000" w:themeColor="text1"/>
          <w:sz w:val="20"/>
          <w:szCs w:val="20"/>
        </w:rPr>
        <w:t xml:space="preserve"> </w:t>
      </w:r>
      <w:r w:rsidRPr="009610C4" w:rsidR="6DF34264">
        <w:rPr>
          <w:color w:val="000000" w:themeColor="text1"/>
          <w:sz w:val="20"/>
          <w:szCs w:val="20"/>
        </w:rPr>
        <w:t xml:space="preserve">mit weniger als 250 Beschäftigten. Weitere </w:t>
      </w:r>
      <w:r w:rsidRPr="009610C4" w:rsidR="23349F1B">
        <w:rPr>
          <w:color w:val="000000" w:themeColor="text1"/>
          <w:sz w:val="20"/>
          <w:szCs w:val="20"/>
        </w:rPr>
        <w:t>7</w:t>
      </w:r>
      <w:r w:rsidRPr="009610C4" w:rsidR="6DF34264">
        <w:rPr>
          <w:color w:val="000000" w:themeColor="text1"/>
          <w:sz w:val="20"/>
          <w:szCs w:val="20"/>
        </w:rPr>
        <w:t>% kamen von Hochschulen und öffentlichen Forschungseinrichtungen</w:t>
      </w:r>
      <w:r w:rsidRPr="009610C4" w:rsidR="2C69320B">
        <w:rPr>
          <w:color w:val="000000" w:themeColor="text1"/>
          <w:sz w:val="20"/>
          <w:szCs w:val="20"/>
          <w:lang w:val="de"/>
        </w:rPr>
        <w:t xml:space="preserve"> (siehe Grafik</w:t>
      </w:r>
      <w:r w:rsidRPr="009610C4" w:rsidR="2C69320B">
        <w:rPr>
          <w:i/>
          <w:iCs/>
          <w:color w:val="000000" w:themeColor="text1"/>
          <w:sz w:val="20"/>
          <w:szCs w:val="20"/>
          <w:lang w:val="de"/>
        </w:rPr>
        <w:t xml:space="preserve"> </w:t>
      </w:r>
      <w:hyperlink w:history="1" r:id="rId22">
        <w:r w:rsidRPr="009610C4" w:rsidR="2C69320B">
          <w:rPr>
            <w:rStyle w:val="Hyperlink"/>
            <w:i/>
            <w:iCs/>
            <w:sz w:val="20"/>
            <w:szCs w:val="20"/>
            <w:lang w:val="de"/>
          </w:rPr>
          <w:t>Anmelder nach Kategorie</w:t>
        </w:r>
      </w:hyperlink>
      <w:r w:rsidRPr="009610C4" w:rsidR="2C69320B">
        <w:rPr>
          <w:i/>
          <w:iCs/>
          <w:color w:val="000000" w:themeColor="text1"/>
          <w:sz w:val="20"/>
          <w:szCs w:val="20"/>
          <w:lang w:val="de"/>
        </w:rPr>
        <w:t>).</w:t>
      </w:r>
      <w:r w:rsidRPr="009610C4" w:rsidR="6261BB4C">
        <w:rPr>
          <w:i/>
          <w:iCs/>
          <w:color w:val="000000" w:themeColor="text1"/>
          <w:sz w:val="20"/>
          <w:szCs w:val="20"/>
        </w:rPr>
        <w:t xml:space="preserve"> </w:t>
      </w:r>
      <w:r w:rsidRPr="009610C4" w:rsidR="6DF34264">
        <w:rPr>
          <w:sz w:val="20"/>
          <w:szCs w:val="20"/>
        </w:rPr>
        <w:t xml:space="preserve">Dies unterstreicht die Attraktivität des Patentsystems für kleinere </w:t>
      </w:r>
      <w:r w:rsidRPr="009610C4" w:rsidR="00D94A1D">
        <w:rPr>
          <w:sz w:val="20"/>
          <w:szCs w:val="20"/>
        </w:rPr>
        <w:t>Akteure</w:t>
      </w:r>
      <w:r w:rsidRPr="009610C4" w:rsidR="00DA3183">
        <w:rPr>
          <w:sz w:val="20"/>
          <w:szCs w:val="20"/>
        </w:rPr>
        <w:t>,</w:t>
      </w:r>
      <w:r w:rsidRPr="009610C4" w:rsidR="05A9F1EC">
        <w:rPr>
          <w:sz w:val="20"/>
          <w:szCs w:val="20"/>
        </w:rPr>
        <w:t xml:space="preserve"> </w:t>
      </w:r>
      <w:r w:rsidRPr="009610C4" w:rsidR="00DA3183">
        <w:rPr>
          <w:sz w:val="20"/>
          <w:szCs w:val="20"/>
        </w:rPr>
        <w:t>die durch die Reduzierung der Anmeldegebühren für Mikrounternehmen, Einzelpersonen, Non-Profit-Organisationen, Universitäten und Forschungseinrichtungen im April 2024 durch das EPA weiter gestärkt wurde</w:t>
      </w:r>
      <w:r w:rsidRPr="009610C4" w:rsidR="6A9D6F5C">
        <w:rPr>
          <w:sz w:val="20"/>
          <w:szCs w:val="20"/>
        </w:rPr>
        <w:t>.</w:t>
      </w:r>
      <w:r w:rsidRPr="009610C4" w:rsidR="6DF34264">
        <w:rPr>
          <w:sz w:val="20"/>
          <w:szCs w:val="20"/>
        </w:rPr>
        <w:t xml:space="preserve">  </w:t>
      </w:r>
    </w:p>
    <w:p w:rsidRPr="009610C4" w:rsidR="009610C4" w:rsidP="001639CF" w:rsidRDefault="009610C4" w14:paraId="0757CE5E" w14:textId="77777777">
      <w:pPr>
        <w:pBdr>
          <w:top w:val="nil"/>
          <w:left w:val="nil"/>
          <w:bottom w:val="nil"/>
          <w:right w:val="nil"/>
          <w:between w:val="nil"/>
        </w:pBdr>
        <w:jc w:val="both"/>
        <w:rPr>
          <w:b/>
          <w:bCs/>
          <w:sz w:val="20"/>
          <w:szCs w:val="20"/>
        </w:rPr>
      </w:pPr>
    </w:p>
    <w:p w:rsidRPr="009610C4" w:rsidR="001639CF" w:rsidP="001639CF" w:rsidRDefault="001639CF" w14:paraId="4375594D" w14:textId="2AD42C23">
      <w:pPr>
        <w:pBdr>
          <w:top w:val="nil"/>
          <w:left w:val="nil"/>
          <w:bottom w:val="nil"/>
          <w:right w:val="nil"/>
          <w:between w:val="nil"/>
        </w:pBdr>
        <w:jc w:val="both"/>
        <w:rPr>
          <w:b/>
          <w:bCs/>
          <w:sz w:val="20"/>
          <w:szCs w:val="20"/>
        </w:rPr>
      </w:pPr>
      <w:r w:rsidRPr="009610C4">
        <w:rPr>
          <w:b/>
          <w:sz w:val="20"/>
          <w:szCs w:val="20"/>
        </w:rPr>
        <w:t>An beinahe jeder vierten Patentanmeldung ist eine Frau als Erfinderin beteiligt</w:t>
      </w:r>
    </w:p>
    <w:p w:rsidRPr="009610C4" w:rsidR="00CF6984" w:rsidP="0082282B" w:rsidRDefault="001210EC" w14:paraId="19E83C25" w14:textId="6B04C6F2">
      <w:pPr>
        <w:jc w:val="both"/>
        <w:rPr>
          <w:sz w:val="20"/>
          <w:szCs w:val="20"/>
        </w:rPr>
      </w:pPr>
      <w:r>
        <w:rPr>
          <w:sz w:val="20"/>
          <w:szCs w:val="20"/>
        </w:rPr>
        <w:br/>
      </w:r>
      <w:r w:rsidRPr="009610C4" w:rsidR="194609E3">
        <w:rPr>
          <w:sz w:val="20"/>
          <w:szCs w:val="20"/>
        </w:rPr>
        <w:t xml:space="preserve">Im Jahr 2024 war </w:t>
      </w:r>
      <w:r w:rsidRPr="009610C4" w:rsidR="5FDE95FB">
        <w:rPr>
          <w:sz w:val="20"/>
          <w:szCs w:val="20"/>
        </w:rPr>
        <w:t>a</w:t>
      </w:r>
      <w:r w:rsidRPr="009610C4" w:rsidR="194609E3">
        <w:rPr>
          <w:sz w:val="20"/>
          <w:szCs w:val="20"/>
        </w:rPr>
        <w:t>n 25 % aller beim EPA eingereichten Patentanmeldungen aus Europa mindestens eine Erfinderin</w:t>
      </w:r>
      <w:r w:rsidRPr="009610C4" w:rsidR="7EEF9025">
        <w:rPr>
          <w:sz w:val="20"/>
          <w:szCs w:val="20"/>
        </w:rPr>
        <w:t xml:space="preserve"> </w:t>
      </w:r>
      <w:r w:rsidRPr="009610C4" w:rsidR="194609E3">
        <w:rPr>
          <w:sz w:val="20"/>
          <w:szCs w:val="20"/>
        </w:rPr>
        <w:t>beteiligt. Unter den gr</w:t>
      </w:r>
      <w:r w:rsidRPr="009610C4" w:rsidR="00FB055D">
        <w:rPr>
          <w:sz w:val="20"/>
          <w:szCs w:val="20"/>
        </w:rPr>
        <w:t>o</w:t>
      </w:r>
      <w:r w:rsidRPr="009610C4" w:rsidR="194609E3">
        <w:rPr>
          <w:sz w:val="20"/>
          <w:szCs w:val="20"/>
        </w:rPr>
        <w:t xml:space="preserve">ßen europäischen Patentanmeldeländern </w:t>
      </w:r>
      <w:r w:rsidRPr="009610C4" w:rsidR="009610C4">
        <w:rPr>
          <w:color w:val="000000" w:themeColor="text1"/>
          <w:sz w:val="20"/>
          <w:szCs w:val="20"/>
        </w:rPr>
        <w:t>–</w:t>
      </w:r>
      <w:r w:rsidR="009610C4">
        <w:rPr>
          <w:color w:val="000000" w:themeColor="text1"/>
          <w:sz w:val="20"/>
          <w:szCs w:val="20"/>
        </w:rPr>
        <w:t xml:space="preserve"> </w:t>
      </w:r>
      <w:r w:rsidRPr="009610C4" w:rsidR="194609E3">
        <w:rPr>
          <w:sz w:val="20"/>
          <w:szCs w:val="20"/>
        </w:rPr>
        <w:t>mit mehr als 2 000 Anmeldungen</w:t>
      </w:r>
      <w:r w:rsidR="009610C4">
        <w:rPr>
          <w:sz w:val="20"/>
          <w:szCs w:val="20"/>
        </w:rPr>
        <w:t xml:space="preserve"> </w:t>
      </w:r>
      <w:r w:rsidRPr="009610C4" w:rsidR="009610C4">
        <w:rPr>
          <w:color w:val="000000" w:themeColor="text1"/>
          <w:sz w:val="20"/>
          <w:szCs w:val="20"/>
        </w:rPr>
        <w:t>–</w:t>
      </w:r>
      <w:r w:rsidRPr="009610C4" w:rsidR="194609E3">
        <w:rPr>
          <w:sz w:val="20"/>
          <w:szCs w:val="20"/>
        </w:rPr>
        <w:t xml:space="preserve"> führt Spanien </w:t>
      </w:r>
      <w:r w:rsidRPr="009610C4" w:rsidR="00DA3183">
        <w:rPr>
          <w:sz w:val="20"/>
          <w:szCs w:val="20"/>
        </w:rPr>
        <w:t xml:space="preserve">mit </w:t>
      </w:r>
      <w:r w:rsidRPr="009610C4" w:rsidR="194609E3">
        <w:rPr>
          <w:sz w:val="20"/>
          <w:szCs w:val="20"/>
        </w:rPr>
        <w:t xml:space="preserve">42 %, gefolgt von </w:t>
      </w:r>
      <w:r w:rsidRPr="009610C4" w:rsidR="39243234">
        <w:rPr>
          <w:sz w:val="20"/>
          <w:szCs w:val="20"/>
        </w:rPr>
        <w:t xml:space="preserve">Belgien </w:t>
      </w:r>
      <w:r w:rsidRPr="009610C4" w:rsidR="194609E3">
        <w:rPr>
          <w:sz w:val="20"/>
          <w:szCs w:val="20"/>
        </w:rPr>
        <w:t xml:space="preserve">(32 %) und </w:t>
      </w:r>
      <w:r w:rsidRPr="009610C4" w:rsidR="20E4E19B">
        <w:rPr>
          <w:sz w:val="20"/>
          <w:szCs w:val="20"/>
        </w:rPr>
        <w:t xml:space="preserve">Frankreich </w:t>
      </w:r>
      <w:r w:rsidRPr="009610C4" w:rsidR="194609E3">
        <w:rPr>
          <w:sz w:val="20"/>
          <w:szCs w:val="20"/>
        </w:rPr>
        <w:t xml:space="preserve">(31 %). </w:t>
      </w:r>
    </w:p>
    <w:p w:rsidRPr="009610C4" w:rsidR="00020959" w:rsidP="007D63F2" w:rsidRDefault="00020959" w14:paraId="4F590517" w14:textId="77777777">
      <w:pPr>
        <w:spacing w:line="259" w:lineRule="auto"/>
        <w:jc w:val="both"/>
        <w:rPr>
          <w:sz w:val="20"/>
          <w:szCs w:val="20"/>
        </w:rPr>
      </w:pPr>
    </w:p>
    <w:p w:rsidRPr="009610C4" w:rsidR="00EB23AF" w:rsidP="0041183E" w:rsidRDefault="00DA3183" w14:paraId="1F6211C5" w14:textId="3C9F45A4">
      <w:pPr>
        <w:jc w:val="both"/>
        <w:rPr>
          <w:b/>
          <w:bCs/>
          <w:sz w:val="20"/>
          <w:szCs w:val="20"/>
        </w:rPr>
      </w:pPr>
      <w:bookmarkStart w:name="_Hlk161155196" w:id="10"/>
      <w:r w:rsidRPr="009610C4">
        <w:rPr>
          <w:b/>
          <w:sz w:val="20"/>
          <w:szCs w:val="20"/>
        </w:rPr>
        <w:t xml:space="preserve">Das </w:t>
      </w:r>
      <w:r w:rsidRPr="009610C4" w:rsidR="00BD3617">
        <w:rPr>
          <w:b/>
          <w:sz w:val="20"/>
          <w:szCs w:val="20"/>
        </w:rPr>
        <w:t>Einheitspatent übertrifft im zweiten Jahr seines Bestehens die Erwartungen</w:t>
      </w:r>
    </w:p>
    <w:p w:rsidRPr="009610C4" w:rsidR="00CF6984" w:rsidP="6C9E4079" w:rsidRDefault="001210EC" w14:paraId="47DF2600" w14:textId="6A54C678">
      <w:pPr>
        <w:jc w:val="both"/>
        <w:rPr>
          <w:i w:val="1"/>
          <w:iCs w:val="1"/>
          <w:sz w:val="20"/>
          <w:szCs w:val="20"/>
        </w:rPr>
      </w:pPr>
      <w:r>
        <w:br/>
      </w:r>
      <w:r w:rsidRPr="6C9E4079" w:rsidR="371627EB">
        <w:rPr>
          <w:sz w:val="20"/>
          <w:szCs w:val="20"/>
        </w:rPr>
        <w:t xml:space="preserve">Das im Jahr 2023 </w:t>
      </w:r>
      <w:r w:rsidRPr="6C9E4079" w:rsidR="0CCA77EB">
        <w:rPr>
          <w:sz w:val="20"/>
          <w:szCs w:val="20"/>
        </w:rPr>
        <w:t>eingeführte</w:t>
      </w:r>
      <w:r w:rsidRPr="6C9E4079" w:rsidR="371627EB">
        <w:rPr>
          <w:sz w:val="20"/>
          <w:szCs w:val="20"/>
        </w:rPr>
        <w:t xml:space="preserve"> </w:t>
      </w:r>
      <w:hyperlink r:id="R05d30170cf09485a">
        <w:r w:rsidRPr="6C9E4079" w:rsidR="371627EB">
          <w:rPr>
            <w:rStyle w:val="Hyperlink"/>
            <w:sz w:val="20"/>
            <w:szCs w:val="20"/>
          </w:rPr>
          <w:t>Einheitspatentsystem</w:t>
        </w:r>
      </w:hyperlink>
      <w:r w:rsidRPr="6C9E4079" w:rsidR="371627EB">
        <w:rPr>
          <w:sz w:val="20"/>
          <w:szCs w:val="20"/>
        </w:rPr>
        <w:t xml:space="preserve"> gewinnt weiter an Dynamik. Es bietet Erfinderinnen und Erfindern mit einem einzigen Antrag beim EPA einfacheren und leichter zugänglichen Patentschutz in 18 EU-Mitgliedstaaten. </w:t>
      </w:r>
      <w:r w:rsidRPr="6C9E4079" w:rsidR="00DA3183">
        <w:rPr>
          <w:sz w:val="20"/>
          <w:szCs w:val="20"/>
        </w:rPr>
        <w:t xml:space="preserve">Einheitlicher Patentschutz wurde </w:t>
      </w:r>
      <w:r w:rsidRPr="6C9E4079" w:rsidR="00DA3183">
        <w:rPr>
          <w:color w:val="000000" w:themeColor="text1" w:themeTint="FF" w:themeShade="FF"/>
          <w:sz w:val="20"/>
          <w:szCs w:val="20"/>
        </w:rPr>
        <w:t>f</w:t>
      </w:r>
      <w:r w:rsidRPr="6C9E4079" w:rsidR="371627EB">
        <w:rPr>
          <w:color w:val="000000" w:themeColor="text1" w:themeTint="FF" w:themeShade="FF"/>
          <w:sz w:val="20"/>
          <w:szCs w:val="20"/>
        </w:rPr>
        <w:t>ür</w:t>
      </w:r>
      <w:r w:rsidRPr="6C9E4079" w:rsidR="371627EB">
        <w:rPr>
          <w:sz w:val="20"/>
          <w:szCs w:val="20"/>
        </w:rPr>
        <w:t xml:space="preserve"> 25,6 % aller europäischen Patente, die im Jahr 2024 </w:t>
      </w:r>
      <w:r w:rsidRPr="6C9E4079" w:rsidR="00DA3183">
        <w:rPr>
          <w:sz w:val="20"/>
          <w:szCs w:val="20"/>
        </w:rPr>
        <w:t xml:space="preserve">vom EPA </w:t>
      </w:r>
      <w:r w:rsidRPr="6C9E4079" w:rsidR="371627EB">
        <w:rPr>
          <w:sz w:val="20"/>
          <w:szCs w:val="20"/>
        </w:rPr>
        <w:t xml:space="preserve">erteilt wurden, </w:t>
      </w:r>
      <w:r w:rsidRPr="6C9E4079" w:rsidR="00DA3183">
        <w:rPr>
          <w:sz w:val="20"/>
          <w:szCs w:val="20"/>
        </w:rPr>
        <w:t>beantragt, was i</w:t>
      </w:r>
      <w:r w:rsidRPr="6C9E4079" w:rsidR="371627EB">
        <w:rPr>
          <w:sz w:val="20"/>
          <w:szCs w:val="20"/>
        </w:rPr>
        <w:t xml:space="preserve">nsgesamt </w:t>
      </w:r>
      <w:r w:rsidRPr="6C9E4079" w:rsidR="00DA3183">
        <w:rPr>
          <w:sz w:val="20"/>
          <w:szCs w:val="20"/>
        </w:rPr>
        <w:t>über</w:t>
      </w:r>
      <w:r w:rsidRPr="6C9E4079" w:rsidR="371627EB">
        <w:rPr>
          <w:sz w:val="20"/>
          <w:szCs w:val="20"/>
        </w:rPr>
        <w:t xml:space="preserve"> 28 000 solcher Anträge </w:t>
      </w:r>
      <w:r w:rsidRPr="6C9E4079" w:rsidR="00DA3183">
        <w:rPr>
          <w:sz w:val="20"/>
          <w:szCs w:val="20"/>
        </w:rPr>
        <w:t xml:space="preserve">ausmacht </w:t>
      </w:r>
      <w:r w:rsidRPr="6C9E4079" w:rsidR="371627EB">
        <w:rPr>
          <w:sz w:val="20"/>
          <w:szCs w:val="20"/>
        </w:rPr>
        <w:t>– ein Anstieg von 53 % im Vergleich zu 2023 (18 300 Anträge). Patentinhaber aus den Mitgliedstaaten des EPA zeigten mit der Umwandlung von 36,5 % ihrer europäischen Patente in Einheitspatente das meiste Interesse, gefolgt von Firmen aus der Republik Korea (18,9 %) und China (17,9 %)</w:t>
      </w:r>
      <w:r w:rsidRPr="6C9E4079" w:rsidR="005969A6">
        <w:rPr>
          <w:sz w:val="20"/>
          <w:szCs w:val="20"/>
        </w:rPr>
        <w:t xml:space="preserve">, wo jeweils ein deutlicher Anstieg zu verzeichnen </w:t>
      </w:r>
      <w:r w:rsidRPr="6C9E4079" w:rsidR="00D245A5">
        <w:rPr>
          <w:sz w:val="20"/>
          <w:szCs w:val="20"/>
        </w:rPr>
        <w:t>war</w:t>
      </w:r>
      <w:r w:rsidRPr="6C9E4079" w:rsidR="371627EB">
        <w:rPr>
          <w:sz w:val="20"/>
          <w:szCs w:val="20"/>
        </w:rPr>
        <w:t xml:space="preserve">, und Firmen aus den USA (16,0 %) und Japan (7,9 %). Die meisten Anträge wurden von Johnson &amp; Johnson, Siemens, Samsung, Qualcomm und der Volvo Group eingereicht. Kleinere </w:t>
      </w:r>
      <w:r w:rsidRPr="6C9E4079" w:rsidR="00DA3183">
        <w:rPr>
          <w:sz w:val="20"/>
          <w:szCs w:val="20"/>
        </w:rPr>
        <w:t>Akteure sind noch stärker geneigt</w:t>
      </w:r>
      <w:r w:rsidRPr="6C9E4079" w:rsidR="371627EB">
        <w:rPr>
          <w:sz w:val="20"/>
          <w:szCs w:val="20"/>
        </w:rPr>
        <w:t>, das System zu nutzen</w:t>
      </w:r>
      <w:r w:rsidRPr="6C9E4079" w:rsidR="00DA3183">
        <w:rPr>
          <w:sz w:val="20"/>
          <w:szCs w:val="20"/>
        </w:rPr>
        <w:t>, wobe</w:t>
      </w:r>
      <w:r w:rsidRPr="6C9E4079" w:rsidR="3402DADC">
        <w:rPr>
          <w:sz w:val="20"/>
          <w:szCs w:val="20"/>
        </w:rPr>
        <w:t>i</w:t>
      </w:r>
      <w:r w:rsidRPr="6C9E4079" w:rsidR="009610C4">
        <w:rPr>
          <w:sz w:val="20"/>
          <w:szCs w:val="20"/>
        </w:rPr>
        <w:t xml:space="preserve"> </w:t>
      </w:r>
      <w:r w:rsidRPr="6C9E4079" w:rsidR="00DA3183">
        <w:rPr>
          <w:sz w:val="20"/>
          <w:szCs w:val="20"/>
        </w:rPr>
        <w:t>e</w:t>
      </w:r>
      <w:r w:rsidRPr="6C9E4079" w:rsidR="371627EB">
        <w:rPr>
          <w:sz w:val="20"/>
          <w:szCs w:val="20"/>
        </w:rPr>
        <w:t>uropäische KMU und Hochschulen eine Akzeptanzrate von 5</w:t>
      </w:r>
      <w:r w:rsidRPr="6C9E4079" w:rsidR="705402BC">
        <w:rPr>
          <w:sz w:val="20"/>
          <w:szCs w:val="20"/>
        </w:rPr>
        <w:t>7,5</w:t>
      </w:r>
      <w:r w:rsidRPr="6C9E4079" w:rsidR="371627EB">
        <w:rPr>
          <w:sz w:val="20"/>
          <w:szCs w:val="20"/>
        </w:rPr>
        <w:t> % auf</w:t>
      </w:r>
      <w:r w:rsidRPr="6C9E4079" w:rsidR="00DA3183">
        <w:rPr>
          <w:sz w:val="20"/>
          <w:szCs w:val="20"/>
        </w:rPr>
        <w:t>weisen</w:t>
      </w:r>
      <w:r w:rsidRPr="6C9E4079" w:rsidR="371627EB">
        <w:rPr>
          <w:i w:val="1"/>
          <w:iCs w:val="1"/>
          <w:sz w:val="20"/>
          <w:szCs w:val="20"/>
        </w:rPr>
        <w:t>.</w:t>
      </w:r>
    </w:p>
    <w:bookmarkEnd w:id="9"/>
    <w:bookmarkEnd w:id="10"/>
    <w:p w:rsidRPr="009610C4" w:rsidR="42C7C6BE" w:rsidP="42C7C6BE" w:rsidRDefault="42C7C6BE" w14:paraId="5A687324" w14:textId="1880E486">
      <w:pPr>
        <w:jc w:val="both"/>
        <w:rPr>
          <w:i/>
          <w:iCs/>
          <w:sz w:val="20"/>
          <w:szCs w:val="20"/>
        </w:rPr>
      </w:pPr>
    </w:p>
    <w:p w:rsidRPr="009610C4" w:rsidR="06B7E814" w:rsidP="00F225A6" w:rsidRDefault="06B7E814" w14:paraId="5F413F34" w14:textId="4626130C">
      <w:pPr>
        <w:pBdr>
          <w:top w:val="nil"/>
          <w:left w:val="nil"/>
          <w:bottom w:val="nil"/>
          <w:right w:val="nil"/>
          <w:between w:val="nil"/>
        </w:pBdr>
        <w:jc w:val="both"/>
        <w:rPr>
          <w:b/>
          <w:bCs/>
          <w:color w:val="000000" w:themeColor="text1"/>
          <w:sz w:val="20"/>
          <w:szCs w:val="20"/>
        </w:rPr>
      </w:pPr>
      <w:r w:rsidRPr="009610C4">
        <w:rPr>
          <w:b/>
          <w:color w:val="000000" w:themeColor="text1"/>
          <w:sz w:val="20"/>
          <w:szCs w:val="20"/>
        </w:rPr>
        <w:t>Weitere Informationen</w:t>
      </w:r>
    </w:p>
    <w:p w:rsidRPr="009610C4" w:rsidR="00AB3391" w:rsidP="00F225A6" w:rsidRDefault="00AB3391" w14:paraId="49654506" w14:textId="06A11152">
      <w:pPr>
        <w:pStyle w:val="ListParagraph"/>
        <w:numPr>
          <w:ilvl w:val="0"/>
          <w:numId w:val="1"/>
        </w:numPr>
        <w:spacing w:before="280" w:after="280"/>
        <w:jc w:val="both"/>
        <w:rPr>
          <w:color w:val="000000"/>
          <w:sz w:val="20"/>
          <w:szCs w:val="20"/>
        </w:rPr>
      </w:pPr>
      <w:bookmarkStart w:name="_Hlk160878869" w:id="11"/>
      <w:r w:rsidRPr="009610C4">
        <w:rPr>
          <w:color w:val="000000" w:themeColor="text1"/>
          <w:sz w:val="20"/>
          <w:szCs w:val="20"/>
        </w:rPr>
        <w:t xml:space="preserve">Hier finden Sie den vollständigen </w:t>
      </w:r>
      <w:bookmarkStart w:name="_Hlk160880403" w:id="12"/>
      <w:r w:rsidRPr="009610C4" w:rsidR="00D245A5">
        <w:rPr>
          <w:b/>
          <w:bCs/>
          <w:color w:val="000000" w:themeColor="text1"/>
          <w:sz w:val="20"/>
          <w:szCs w:val="20"/>
        </w:rPr>
        <w:fldChar w:fldCharType="begin"/>
      </w:r>
      <w:r w:rsidR="00D42413">
        <w:rPr>
          <w:b/>
          <w:bCs/>
          <w:color w:val="000000" w:themeColor="text1"/>
          <w:sz w:val="20"/>
          <w:szCs w:val="20"/>
        </w:rPr>
        <w:instrText>HYPERLINK "http://epo.org/patent-index2024?mtm_camp=pressrelease&amp;mtm_key=PatentIndex&amp;mtm_medium=press"</w:instrText>
      </w:r>
      <w:r w:rsidRPr="009610C4" w:rsidR="00D42413">
        <w:rPr>
          <w:b/>
          <w:bCs/>
          <w:color w:val="000000" w:themeColor="text1"/>
          <w:sz w:val="20"/>
          <w:szCs w:val="20"/>
        </w:rPr>
      </w:r>
      <w:r w:rsidRPr="009610C4" w:rsidR="00D245A5">
        <w:rPr>
          <w:b/>
          <w:bCs/>
          <w:color w:val="000000" w:themeColor="text1"/>
          <w:sz w:val="20"/>
          <w:szCs w:val="20"/>
        </w:rPr>
        <w:fldChar w:fldCharType="separate"/>
      </w:r>
      <w:r w:rsidRPr="009610C4">
        <w:rPr>
          <w:rStyle w:val="Hyperlink"/>
          <w:b/>
          <w:bCs/>
          <w:sz w:val="20"/>
          <w:szCs w:val="20"/>
        </w:rPr>
        <w:t>Patent Index 2024</w:t>
      </w:r>
      <w:bookmarkEnd w:id="12"/>
      <w:r w:rsidRPr="009610C4" w:rsidR="00D245A5">
        <w:rPr>
          <w:b/>
          <w:bCs/>
          <w:color w:val="000000" w:themeColor="text1"/>
          <w:sz w:val="20"/>
          <w:szCs w:val="20"/>
        </w:rPr>
        <w:fldChar w:fldCharType="end"/>
      </w:r>
    </w:p>
    <w:p w:rsidRPr="009610C4" w:rsidR="009229E6" w:rsidP="00F225A6" w:rsidRDefault="00B35A29" w14:paraId="00000036" w14:textId="158E355F">
      <w:pPr>
        <w:pStyle w:val="ListParagraph"/>
        <w:numPr>
          <w:ilvl w:val="0"/>
          <w:numId w:val="1"/>
        </w:numPr>
        <w:spacing w:before="280" w:after="280"/>
        <w:jc w:val="both"/>
        <w:rPr>
          <w:color w:val="000000"/>
          <w:sz w:val="20"/>
          <w:szCs w:val="20"/>
        </w:rPr>
      </w:pPr>
      <w:r w:rsidRPr="009610C4">
        <w:rPr>
          <w:sz w:val="20"/>
          <w:szCs w:val="20"/>
        </w:rPr>
        <w:t xml:space="preserve">Im </w:t>
      </w:r>
      <w:hyperlink r:id="rId24">
        <w:proofErr w:type="spellStart"/>
        <w:r w:rsidRPr="009610C4">
          <w:rPr>
            <w:rStyle w:val="Hyperlink"/>
            <w:sz w:val="20"/>
            <w:szCs w:val="20"/>
          </w:rPr>
          <w:t>Statistics</w:t>
        </w:r>
        <w:proofErr w:type="spellEnd"/>
        <w:r w:rsidRPr="009610C4">
          <w:rPr>
            <w:rStyle w:val="Hyperlink"/>
            <w:sz w:val="20"/>
            <w:szCs w:val="20"/>
          </w:rPr>
          <w:t xml:space="preserve"> &amp; Trends </w:t>
        </w:r>
        <w:proofErr w:type="spellStart"/>
        <w:r w:rsidRPr="009610C4">
          <w:rPr>
            <w:rStyle w:val="Hyperlink"/>
            <w:sz w:val="20"/>
            <w:szCs w:val="20"/>
          </w:rPr>
          <w:t>Centre</w:t>
        </w:r>
        <w:proofErr w:type="spellEnd"/>
      </w:hyperlink>
      <w:r w:rsidRPr="009610C4">
        <w:rPr>
          <w:sz w:val="20"/>
          <w:szCs w:val="20"/>
        </w:rPr>
        <w:t xml:space="preserve"> finden Sie </w:t>
      </w:r>
      <w:r w:rsidRPr="009610C4">
        <w:rPr>
          <w:b/>
          <w:sz w:val="20"/>
          <w:szCs w:val="20"/>
        </w:rPr>
        <w:t>zahlreiche Statistiken</w:t>
      </w:r>
      <w:r w:rsidRPr="009610C4">
        <w:rPr>
          <w:sz w:val="20"/>
          <w:szCs w:val="20"/>
        </w:rPr>
        <w:t xml:space="preserve"> und können </w:t>
      </w:r>
      <w:r w:rsidRPr="009610C4">
        <w:rPr>
          <w:b/>
          <w:sz w:val="20"/>
          <w:szCs w:val="20"/>
        </w:rPr>
        <w:t>eigene Grafiken erstellen</w:t>
      </w:r>
      <w:r w:rsidRPr="009610C4">
        <w:rPr>
          <w:sz w:val="20"/>
          <w:szCs w:val="20"/>
        </w:rPr>
        <w:t>.</w:t>
      </w:r>
    </w:p>
    <w:p w:rsidRPr="009610C4" w:rsidR="006B2D6B" w:rsidP="00F225A6" w:rsidRDefault="00B35A29" w14:paraId="07F8A1CA" w14:textId="6F8F4C18">
      <w:pPr>
        <w:pStyle w:val="ListParagraph"/>
        <w:numPr>
          <w:ilvl w:val="0"/>
          <w:numId w:val="1"/>
        </w:numPr>
        <w:jc w:val="both"/>
        <w:rPr>
          <w:sz w:val="20"/>
          <w:szCs w:val="20"/>
        </w:rPr>
      </w:pPr>
      <w:r w:rsidRPr="009610C4">
        <w:rPr>
          <w:sz w:val="20"/>
          <w:szCs w:val="20"/>
        </w:rPr>
        <w:t xml:space="preserve">Nutzen Sie unser </w:t>
      </w:r>
      <w:hyperlink w:history="1" w:anchor="/unitary-patent" r:id="rId25">
        <w:r w:rsidRPr="009610C4">
          <w:rPr>
            <w:rStyle w:val="Hyperlink"/>
            <w:sz w:val="20"/>
            <w:szCs w:val="20"/>
          </w:rPr>
          <w:t>Dashboard</w:t>
        </w:r>
      </w:hyperlink>
      <w:r w:rsidRPr="009610C4">
        <w:rPr>
          <w:sz w:val="20"/>
          <w:szCs w:val="20"/>
        </w:rPr>
        <w:t xml:space="preserve">, um auf Statistiken zum </w:t>
      </w:r>
      <w:r w:rsidRPr="009610C4">
        <w:rPr>
          <w:b/>
          <w:sz w:val="20"/>
          <w:szCs w:val="20"/>
        </w:rPr>
        <w:t>Einheitspatent</w:t>
      </w:r>
      <w:r w:rsidRPr="009610C4">
        <w:rPr>
          <w:sz w:val="20"/>
          <w:szCs w:val="20"/>
        </w:rPr>
        <w:t xml:space="preserve"> zuzugreifen. </w:t>
      </w:r>
    </w:p>
    <w:p w:rsidRPr="009610C4" w:rsidR="006E3659" w:rsidP="00F225A6" w:rsidRDefault="00B35A29" w14:paraId="309D48E2" w14:textId="2F5FD14A">
      <w:pPr>
        <w:pStyle w:val="ListParagraph"/>
        <w:numPr>
          <w:ilvl w:val="0"/>
          <w:numId w:val="1"/>
        </w:numPr>
        <w:jc w:val="both"/>
        <w:rPr>
          <w:sz w:val="20"/>
          <w:szCs w:val="20"/>
        </w:rPr>
      </w:pPr>
      <w:r w:rsidRPr="009610C4">
        <w:rPr>
          <w:sz w:val="20"/>
          <w:szCs w:val="20"/>
        </w:rPr>
        <w:t xml:space="preserve">Auf unserer </w:t>
      </w:r>
      <w:hyperlink r:id="rId26">
        <w:r w:rsidRPr="009610C4">
          <w:rPr>
            <w:rStyle w:val="Hyperlink"/>
            <w:sz w:val="20"/>
            <w:szCs w:val="20"/>
          </w:rPr>
          <w:t>Statistikseite</w:t>
        </w:r>
      </w:hyperlink>
      <w:r w:rsidRPr="009610C4">
        <w:rPr>
          <w:sz w:val="20"/>
          <w:szCs w:val="20"/>
        </w:rPr>
        <w:t xml:space="preserve"> finden Sie im </w:t>
      </w:r>
      <w:r w:rsidRPr="009610C4">
        <w:rPr>
          <w:b/>
          <w:sz w:val="20"/>
          <w:szCs w:val="20"/>
        </w:rPr>
        <w:t>Download-Bereich</w:t>
      </w:r>
      <w:r w:rsidRPr="009610C4">
        <w:rPr>
          <w:sz w:val="20"/>
          <w:szCs w:val="20"/>
        </w:rPr>
        <w:t xml:space="preserve"> weitere </w:t>
      </w:r>
      <w:r w:rsidRPr="009610C4">
        <w:rPr>
          <w:b/>
          <w:sz w:val="20"/>
          <w:szCs w:val="20"/>
        </w:rPr>
        <w:t xml:space="preserve">Datensätze </w:t>
      </w:r>
      <w:r w:rsidRPr="009610C4">
        <w:rPr>
          <w:sz w:val="20"/>
          <w:szCs w:val="20"/>
        </w:rPr>
        <w:t>(MS Excel).</w:t>
      </w:r>
    </w:p>
    <w:p w:rsidRPr="009610C4" w:rsidR="009229E6" w:rsidP="00F225A6" w:rsidRDefault="1BC90FDD" w14:paraId="00000037" w14:textId="1FB2E1BC">
      <w:pPr>
        <w:pStyle w:val="ListParagraph"/>
        <w:numPr>
          <w:ilvl w:val="0"/>
          <w:numId w:val="1"/>
        </w:numPr>
        <w:pBdr>
          <w:top w:val="nil"/>
          <w:left w:val="nil"/>
          <w:bottom w:val="nil"/>
          <w:right w:val="nil"/>
          <w:between w:val="nil"/>
        </w:pBdr>
        <w:jc w:val="both"/>
        <w:rPr>
          <w:color w:val="000000"/>
          <w:sz w:val="20"/>
          <w:szCs w:val="20"/>
        </w:rPr>
      </w:pPr>
      <w:r w:rsidRPr="009610C4">
        <w:rPr>
          <w:color w:val="000000" w:themeColor="text1"/>
          <w:sz w:val="20"/>
          <w:szCs w:val="20"/>
        </w:rPr>
        <w:t xml:space="preserve">Installieren Sie unsere App </w:t>
      </w:r>
      <w:hyperlink r:id="rId27">
        <w:r w:rsidRPr="009610C4">
          <w:rPr>
            <w:rStyle w:val="Hyperlink"/>
            <w:sz w:val="20"/>
            <w:szCs w:val="20"/>
          </w:rPr>
          <w:t>EPO Data Hub</w:t>
        </w:r>
      </w:hyperlink>
      <w:r w:rsidRPr="009610C4">
        <w:rPr>
          <w:color w:val="000000" w:themeColor="text1"/>
          <w:sz w:val="20"/>
          <w:szCs w:val="20"/>
        </w:rPr>
        <w:t xml:space="preserve">, um auch </w:t>
      </w:r>
      <w:r w:rsidRPr="009610C4">
        <w:rPr>
          <w:b/>
          <w:bCs/>
          <w:color w:val="000000" w:themeColor="text1"/>
          <w:sz w:val="20"/>
          <w:szCs w:val="20"/>
        </w:rPr>
        <w:t>unterwegs über Patenttrends auf dem Laufenden zu bleiben</w:t>
      </w:r>
      <w:r w:rsidRPr="009610C4">
        <w:rPr>
          <w:color w:val="000000" w:themeColor="text1"/>
          <w:sz w:val="20"/>
          <w:szCs w:val="20"/>
        </w:rPr>
        <w:t>.</w:t>
      </w:r>
    </w:p>
    <w:bookmarkEnd w:id="11"/>
    <w:p w:rsidRPr="009610C4" w:rsidR="008C45B0" w:rsidP="00F225A6" w:rsidRDefault="00910CD7" w14:paraId="34859B60" w14:textId="43FF2BB0">
      <w:pPr>
        <w:pStyle w:val="ListParagraph"/>
        <w:numPr>
          <w:ilvl w:val="0"/>
          <w:numId w:val="1"/>
        </w:numPr>
        <w:pBdr>
          <w:top w:val="nil"/>
          <w:left w:val="nil"/>
          <w:bottom w:val="nil"/>
          <w:right w:val="nil"/>
          <w:between w:val="nil"/>
        </w:pBdr>
        <w:jc w:val="both"/>
        <w:rPr>
          <w:b/>
          <w:bCs/>
          <w:color w:val="000000" w:themeColor="text1"/>
          <w:sz w:val="20"/>
          <w:szCs w:val="20"/>
        </w:rPr>
      </w:pPr>
      <w:r w:rsidRPr="009610C4">
        <w:rPr>
          <w:color w:val="000000" w:themeColor="text1"/>
          <w:sz w:val="20"/>
          <w:szCs w:val="20"/>
        </w:rPr>
        <w:t xml:space="preserve">Lesen Sie </w:t>
      </w:r>
      <w:r w:rsidRPr="009610C4">
        <w:rPr>
          <w:b/>
          <w:color w:val="000000" w:themeColor="text1"/>
          <w:sz w:val="20"/>
          <w:szCs w:val="20"/>
        </w:rPr>
        <w:t xml:space="preserve">Studien </w:t>
      </w:r>
      <w:r w:rsidRPr="009610C4">
        <w:rPr>
          <w:color w:val="000000" w:themeColor="text1"/>
          <w:sz w:val="20"/>
          <w:szCs w:val="20"/>
        </w:rPr>
        <w:t>über Innovationstrends bei der</w:t>
      </w:r>
      <w:r w:rsidRPr="009610C4">
        <w:rPr>
          <w:b/>
          <w:color w:val="000000" w:themeColor="text1"/>
          <w:sz w:val="20"/>
          <w:szCs w:val="20"/>
        </w:rPr>
        <w:t xml:space="preserve"> </w:t>
      </w:r>
      <w:hyperlink w:tgtFrame="_blank" w:history="1" r:id="rId28">
        <w:r w:rsidRPr="009610C4">
          <w:rPr>
            <w:rStyle w:val="Hyperlink"/>
            <w:sz w:val="20"/>
            <w:szCs w:val="20"/>
          </w:rPr>
          <w:t>Beobachtungsstelle für Patente und Technologie</w:t>
        </w:r>
      </w:hyperlink>
      <w:r w:rsidRPr="009610C4">
        <w:rPr>
          <w:b/>
          <w:color w:val="000000" w:themeColor="text1"/>
          <w:sz w:val="20"/>
          <w:szCs w:val="20"/>
        </w:rPr>
        <w:t> </w:t>
      </w:r>
    </w:p>
    <w:p w:rsidRPr="009610C4" w:rsidR="30B430CF" w:rsidP="4FB3ADFC" w:rsidRDefault="00B35A29" w14:paraId="7C506B71" w14:textId="28ED67ED">
      <w:pPr>
        <w:pStyle w:val="ListParagraph"/>
        <w:numPr>
          <w:ilvl w:val="0"/>
          <w:numId w:val="1"/>
        </w:numPr>
        <w:jc w:val="both"/>
        <w:rPr>
          <w:sz w:val="20"/>
          <w:szCs w:val="20"/>
        </w:rPr>
      </w:pPr>
      <w:r w:rsidRPr="009610C4">
        <w:rPr>
          <w:sz w:val="20"/>
          <w:szCs w:val="20"/>
        </w:rPr>
        <w:t xml:space="preserve">So unterstützt das EPA </w:t>
      </w:r>
      <w:hyperlink r:id="rId29">
        <w:r w:rsidR="00C212E7">
          <w:rPr>
            <w:rStyle w:val="Hyperlink"/>
            <w:sz w:val="20"/>
            <w:szCs w:val="20"/>
          </w:rPr>
          <w:t>KMU, Hochschulen, Non-Profit-Organisationen</w:t>
        </w:r>
      </w:hyperlink>
      <w:r w:rsidRPr="009610C4">
        <w:rPr>
          <w:sz w:val="20"/>
          <w:szCs w:val="20"/>
        </w:rPr>
        <w:t xml:space="preserve"> und andere kleinere Anmelder </w:t>
      </w:r>
    </w:p>
    <w:p w:rsidRPr="009610C4" w:rsidR="00910CD7" w:rsidP="00910CD7" w:rsidRDefault="00910CD7" w14:paraId="5F67C4D8" w14:textId="77777777">
      <w:pPr>
        <w:pBdr>
          <w:top w:val="nil"/>
          <w:left w:val="nil"/>
          <w:bottom w:val="nil"/>
          <w:right w:val="nil"/>
          <w:between w:val="nil"/>
        </w:pBdr>
        <w:jc w:val="both"/>
        <w:rPr>
          <w:b/>
          <w:bCs/>
          <w:color w:val="000000" w:themeColor="text1"/>
          <w:sz w:val="20"/>
          <w:szCs w:val="20"/>
        </w:rPr>
      </w:pPr>
    </w:p>
    <w:p w:rsidRPr="009610C4" w:rsidR="009229E6" w:rsidP="4FB3ADFC" w:rsidRDefault="1BC90FDD" w14:paraId="0000003B" w14:textId="0921AAA4">
      <w:pPr>
        <w:jc w:val="both"/>
        <w:rPr>
          <w:sz w:val="20"/>
          <w:szCs w:val="20"/>
        </w:rPr>
      </w:pPr>
      <w:bookmarkStart w:name="_heading=h.lnxbz9" w:id="13"/>
      <w:bookmarkEnd w:id="13"/>
      <w:r w:rsidRPr="009610C4">
        <w:rPr>
          <w:b/>
          <w:bCs/>
          <w:sz w:val="20"/>
          <w:szCs w:val="20"/>
        </w:rPr>
        <w:t xml:space="preserve">Folgen Sie uns auf: </w:t>
      </w:r>
      <w:hyperlink r:id="rId30">
        <w:r w:rsidRPr="009610C4">
          <w:rPr>
            <w:color w:val="0000FF"/>
            <w:sz w:val="20"/>
            <w:szCs w:val="20"/>
          </w:rPr>
          <w:t>X</w:t>
        </w:r>
      </w:hyperlink>
      <w:r w:rsidRPr="009610C4">
        <w:rPr>
          <w:color w:val="0000FF"/>
          <w:sz w:val="20"/>
          <w:szCs w:val="20"/>
        </w:rPr>
        <w:t xml:space="preserve"> </w:t>
      </w:r>
      <w:r w:rsidRPr="009610C4">
        <w:rPr>
          <w:sz w:val="20"/>
          <w:szCs w:val="20"/>
        </w:rPr>
        <w:t xml:space="preserve">| </w:t>
      </w:r>
      <w:hyperlink r:id="rId31">
        <w:r w:rsidRPr="009610C4">
          <w:rPr>
            <w:color w:val="0000FF"/>
            <w:sz w:val="20"/>
            <w:szCs w:val="20"/>
          </w:rPr>
          <w:t>Facebook</w:t>
        </w:r>
      </w:hyperlink>
      <w:r w:rsidRPr="009610C4">
        <w:rPr>
          <w:color w:val="0000FF"/>
          <w:sz w:val="20"/>
          <w:szCs w:val="20"/>
        </w:rPr>
        <w:t xml:space="preserve"> </w:t>
      </w:r>
      <w:r w:rsidRPr="009610C4">
        <w:rPr>
          <w:sz w:val="20"/>
          <w:szCs w:val="20"/>
        </w:rPr>
        <w:t xml:space="preserve">| </w:t>
      </w:r>
      <w:hyperlink r:id="rId32">
        <w:r w:rsidRPr="009610C4">
          <w:rPr>
            <w:color w:val="0000FF"/>
            <w:sz w:val="20"/>
            <w:szCs w:val="20"/>
          </w:rPr>
          <w:t>LinkedIn</w:t>
        </w:r>
      </w:hyperlink>
      <w:r w:rsidRPr="009610C4">
        <w:rPr>
          <w:color w:val="0000FF"/>
          <w:sz w:val="20"/>
          <w:szCs w:val="20"/>
        </w:rPr>
        <w:t xml:space="preserve"> </w:t>
      </w:r>
      <w:r w:rsidRPr="009610C4">
        <w:rPr>
          <w:sz w:val="20"/>
          <w:szCs w:val="20"/>
        </w:rPr>
        <w:t xml:space="preserve">| </w:t>
      </w:r>
      <w:hyperlink r:id="rId33">
        <w:r w:rsidRPr="009610C4">
          <w:rPr>
            <w:color w:val="0000FF"/>
            <w:sz w:val="20"/>
            <w:szCs w:val="20"/>
          </w:rPr>
          <w:t>Instagram</w:t>
        </w:r>
      </w:hyperlink>
      <w:r w:rsidRPr="009610C4">
        <w:rPr>
          <w:color w:val="0000FF"/>
          <w:sz w:val="20"/>
          <w:szCs w:val="20"/>
        </w:rPr>
        <w:t xml:space="preserve"> </w:t>
      </w:r>
      <w:r w:rsidRPr="009610C4">
        <w:rPr>
          <w:sz w:val="20"/>
          <w:szCs w:val="20"/>
        </w:rPr>
        <w:t xml:space="preserve">| </w:t>
      </w:r>
      <w:hyperlink r:id="rId34">
        <w:r w:rsidRPr="009610C4">
          <w:rPr>
            <w:color w:val="0000FF"/>
            <w:sz w:val="20"/>
            <w:szCs w:val="20"/>
          </w:rPr>
          <w:t>YouTube</w:t>
        </w:r>
      </w:hyperlink>
      <w:r w:rsidRPr="009610C4">
        <w:rPr>
          <w:color w:val="0000FF"/>
          <w:sz w:val="20"/>
          <w:szCs w:val="20"/>
        </w:rPr>
        <w:t xml:space="preserve"> </w:t>
      </w:r>
    </w:p>
    <w:p w:rsidRPr="009610C4" w:rsidR="00C63933" w:rsidP="4FB3ADFC" w:rsidRDefault="00C63933" w14:paraId="50F366FC" w14:textId="77777777">
      <w:pPr>
        <w:pBdr>
          <w:top w:val="nil"/>
          <w:left w:val="nil"/>
          <w:bottom w:val="nil"/>
          <w:right w:val="nil"/>
          <w:between w:val="nil"/>
        </w:pBdr>
        <w:jc w:val="both"/>
        <w:rPr>
          <w:color w:val="000000" w:themeColor="text1"/>
          <w:sz w:val="20"/>
          <w:szCs w:val="20"/>
        </w:rPr>
      </w:pPr>
    </w:p>
    <w:p w:rsidRPr="009610C4" w:rsidR="660A5AAC" w:rsidP="4FB3ADFC" w:rsidRDefault="660A5AAC" w14:paraId="6E877846" w14:textId="5F581390">
      <w:pPr>
        <w:pBdr>
          <w:top w:val="nil"/>
          <w:left w:val="nil"/>
          <w:bottom w:val="nil"/>
          <w:right w:val="nil"/>
          <w:between w:val="nil"/>
        </w:pBdr>
        <w:jc w:val="both"/>
        <w:rPr>
          <w:b/>
          <w:bCs/>
          <w:color w:val="000000" w:themeColor="text1"/>
          <w:sz w:val="20"/>
          <w:szCs w:val="20"/>
        </w:rPr>
      </w:pPr>
      <w:r w:rsidRPr="009610C4">
        <w:rPr>
          <w:color w:val="000000" w:themeColor="text1"/>
          <w:sz w:val="20"/>
          <w:szCs w:val="20"/>
        </w:rPr>
        <w:t>Hashtag:</w:t>
      </w:r>
      <w:r w:rsidRPr="009610C4">
        <w:rPr>
          <w:b/>
          <w:bCs/>
          <w:color w:val="000000" w:themeColor="text1"/>
          <w:sz w:val="20"/>
          <w:szCs w:val="20"/>
        </w:rPr>
        <w:t xml:space="preserve"> #EPOPatentIndex </w:t>
      </w:r>
    </w:p>
    <w:p w:rsidRPr="009610C4" w:rsidR="6FEC057E" w:rsidP="4FB3ADFC" w:rsidRDefault="6FEC057E" w14:paraId="117173B3" w14:textId="77777777">
      <w:pPr>
        <w:pBdr>
          <w:top w:val="nil"/>
          <w:left w:val="nil"/>
          <w:bottom w:val="nil"/>
          <w:right w:val="nil"/>
          <w:between w:val="nil"/>
        </w:pBdr>
        <w:jc w:val="both"/>
        <w:rPr>
          <w:color w:val="0B2A43"/>
          <w:sz w:val="20"/>
          <w:szCs w:val="20"/>
          <w:highlight w:val="white"/>
        </w:rPr>
      </w:pPr>
    </w:p>
    <w:p w:rsidRPr="009610C4" w:rsidR="009229E6" w:rsidP="4FB3ADFC" w:rsidRDefault="1BC90FDD" w14:paraId="0000004A" w14:textId="7622748E">
      <w:pPr>
        <w:jc w:val="both"/>
        <w:rPr>
          <w:b/>
          <w:bCs/>
          <w:sz w:val="20"/>
          <w:szCs w:val="20"/>
        </w:rPr>
      </w:pPr>
      <w:r w:rsidRPr="009610C4">
        <w:rPr>
          <w:b/>
          <w:bCs/>
          <w:sz w:val="20"/>
          <w:szCs w:val="20"/>
        </w:rPr>
        <w:t>Medienkontakte Europäisches Patentamt</w:t>
      </w:r>
    </w:p>
    <w:p w:rsidRPr="009610C4" w:rsidR="6FEC057E" w:rsidP="4FB3ADFC" w:rsidRDefault="6FEC057E" w14:paraId="0D20EFC7" w14:textId="5A26B283">
      <w:pPr>
        <w:jc w:val="both"/>
        <w:rPr>
          <w:b/>
          <w:bCs/>
          <w:sz w:val="20"/>
          <w:szCs w:val="20"/>
        </w:rPr>
      </w:pPr>
    </w:p>
    <w:p w:rsidRPr="009610C4" w:rsidR="007D63F2" w:rsidP="4FB3ADFC" w:rsidRDefault="1BC90FDD" w14:paraId="536525FD" w14:textId="77777777">
      <w:pPr>
        <w:jc w:val="both"/>
        <w:rPr>
          <w:sz w:val="20"/>
          <w:szCs w:val="20"/>
        </w:rPr>
      </w:pPr>
      <w:r w:rsidRPr="009610C4">
        <w:rPr>
          <w:b/>
          <w:bCs/>
          <w:sz w:val="20"/>
          <w:szCs w:val="20"/>
        </w:rPr>
        <w:t>Luis Berenguer Giménez</w:t>
      </w:r>
      <w:r w:rsidRPr="009610C4">
        <w:rPr>
          <w:sz w:val="20"/>
          <w:szCs w:val="20"/>
        </w:rPr>
        <w:t xml:space="preserve"> </w:t>
      </w:r>
    </w:p>
    <w:p w:rsidRPr="009610C4" w:rsidR="009229E6" w:rsidP="4FB3ADFC" w:rsidRDefault="1BC90FDD" w14:paraId="0000004C" w14:textId="054A546C">
      <w:pPr>
        <w:jc w:val="both"/>
        <w:rPr>
          <w:sz w:val="20"/>
          <w:szCs w:val="20"/>
        </w:rPr>
      </w:pPr>
      <w:r w:rsidRPr="009610C4">
        <w:rPr>
          <w:sz w:val="20"/>
          <w:szCs w:val="20"/>
        </w:rPr>
        <w:t>Hauptdirektor Kommunikation / EPA-Sprecher</w:t>
      </w:r>
    </w:p>
    <w:p w:rsidRPr="009610C4" w:rsidR="6FEC057E" w:rsidP="4FB3ADFC" w:rsidRDefault="6FEC057E" w14:paraId="289D5685" w14:textId="545B98FF">
      <w:pPr>
        <w:tabs>
          <w:tab w:val="left" w:pos="6864"/>
        </w:tabs>
        <w:jc w:val="both"/>
        <w:rPr>
          <w:b/>
          <w:bCs/>
          <w:sz w:val="20"/>
          <w:szCs w:val="20"/>
        </w:rPr>
      </w:pPr>
    </w:p>
    <w:p w:rsidRPr="009610C4" w:rsidR="001D3F69" w:rsidP="4FB3ADFC" w:rsidRDefault="1BC90FDD" w14:paraId="647DF17F" w14:textId="7DA28045">
      <w:pPr>
        <w:tabs>
          <w:tab w:val="left" w:pos="6864"/>
        </w:tabs>
        <w:jc w:val="both"/>
        <w:rPr>
          <w:b/>
          <w:bCs/>
          <w:sz w:val="20"/>
          <w:szCs w:val="20"/>
        </w:rPr>
      </w:pPr>
      <w:r w:rsidRPr="009610C4">
        <w:rPr>
          <w:b/>
          <w:bCs/>
          <w:sz w:val="20"/>
          <w:szCs w:val="20"/>
        </w:rPr>
        <w:t>EPA-Pressestelle</w:t>
      </w:r>
    </w:p>
    <w:p w:rsidRPr="002611FC" w:rsidR="001E6AFC" w:rsidP="4FB3ADFC" w:rsidRDefault="00305983" w14:paraId="09EB056D" w14:textId="77777777">
      <w:pPr>
        <w:jc w:val="both"/>
        <w:rPr>
          <w:sz w:val="20"/>
          <w:szCs w:val="20"/>
        </w:rPr>
      </w:pPr>
      <w:hyperlink r:id="rId35">
        <w:r w:rsidRPr="002611FC" w:rsidR="001E6AFC">
          <w:rPr>
            <w:rStyle w:val="Hyperlink"/>
            <w:sz w:val="20"/>
            <w:szCs w:val="20"/>
          </w:rPr>
          <w:t>press@epo.org</w:t>
        </w:r>
      </w:hyperlink>
      <w:r w:rsidRPr="002611FC" w:rsidR="001E6AFC">
        <w:rPr>
          <w:sz w:val="20"/>
          <w:szCs w:val="20"/>
        </w:rPr>
        <w:t xml:space="preserve"> </w:t>
      </w:r>
      <w:r w:rsidRPr="002611FC" w:rsidR="001E6AFC">
        <w:rPr>
          <w:sz w:val="20"/>
          <w:szCs w:val="20"/>
        </w:rPr>
        <w:br/>
      </w:r>
      <w:r w:rsidRPr="002611FC" w:rsidR="001E6AFC">
        <w:rPr>
          <w:sz w:val="20"/>
          <w:szCs w:val="20"/>
        </w:rPr>
        <w:t>Tel.: +49 89 2399-1833</w:t>
      </w:r>
    </w:p>
    <w:p w:rsidRPr="002611FC" w:rsidR="009D4569" w:rsidP="4FB3ADFC" w:rsidRDefault="001E6AFC" w14:paraId="3FD8125E" w14:textId="77777777">
      <w:pPr>
        <w:jc w:val="both"/>
        <w:rPr>
          <w:sz w:val="20"/>
          <w:szCs w:val="20"/>
        </w:rPr>
      </w:pPr>
      <w:r w:rsidRPr="002611FC">
        <w:rPr>
          <w:sz w:val="20"/>
          <w:szCs w:val="20"/>
        </w:rPr>
        <w:t xml:space="preserve">Mobil: +49 151 5440 3997 </w:t>
      </w:r>
    </w:p>
    <w:p w:rsidRPr="009610C4" w:rsidR="009229E6" w:rsidP="4FB3ADFC" w:rsidRDefault="00743D6C" w14:paraId="00000052" w14:textId="4F746874">
      <w:pPr>
        <w:jc w:val="both"/>
        <w:rPr>
          <w:b/>
          <w:bCs/>
          <w:color w:val="000000"/>
          <w:sz w:val="20"/>
          <w:szCs w:val="20"/>
        </w:rPr>
      </w:pPr>
      <w:r w:rsidRPr="006D3A3B">
        <w:rPr>
          <w:sz w:val="20"/>
          <w:szCs w:val="20"/>
        </w:rPr>
        <w:br/>
      </w:r>
      <w:r w:rsidRPr="009610C4">
        <w:rPr>
          <w:b/>
          <w:bCs/>
          <w:color w:val="000000" w:themeColor="text1"/>
          <w:sz w:val="20"/>
          <w:szCs w:val="20"/>
        </w:rPr>
        <w:t>Über das EPA</w:t>
      </w:r>
    </w:p>
    <w:p w:rsidRPr="009610C4" w:rsidR="009229E6" w:rsidP="1F550A24" w:rsidRDefault="00743D6C" w14:paraId="00000053" w14:textId="001F23E9">
      <w:pPr>
        <w:pBdr>
          <w:top w:val="nil"/>
          <w:left w:val="nil"/>
          <w:bottom w:val="nil"/>
          <w:right w:val="nil"/>
          <w:between w:val="nil"/>
        </w:pBdr>
        <w:shd w:val="clear" w:color="auto" w:fill="FFFFFF" w:themeFill="background1"/>
        <w:jc w:val="both"/>
        <w:rPr>
          <w:color w:val="000000"/>
          <w:sz w:val="20"/>
          <w:szCs w:val="20"/>
        </w:rPr>
      </w:pPr>
      <w:r w:rsidRPr="009610C4">
        <w:rPr>
          <w:color w:val="000000" w:themeColor="text1"/>
          <w:sz w:val="20"/>
          <w:szCs w:val="20"/>
        </w:rPr>
        <w:t>Mit 6 300</w:t>
      </w:r>
      <w:sdt>
        <w:sdtPr>
          <w:rPr>
            <w:sz w:val="20"/>
            <w:szCs w:val="20"/>
          </w:rPr>
          <w:tag w:val="goog_rdk_47"/>
          <w:id w:val="6425329"/>
        </w:sdtPr>
        <w:sdtEndPr/>
        <w:sdtContent>
          <w:r w:rsidRPr="009610C4">
            <w:rPr>
              <w:color w:val="000000" w:themeColor="text1"/>
              <w:sz w:val="20"/>
              <w:szCs w:val="20"/>
            </w:rPr>
            <w:t xml:space="preserve"> Beschäftigten </w:t>
          </w:r>
        </w:sdtContent>
      </w:sdt>
      <w:r w:rsidRPr="009610C4">
        <w:rPr>
          <w:color w:val="000000" w:themeColor="text1"/>
          <w:sz w:val="20"/>
          <w:szCs w:val="20"/>
        </w:rPr>
        <w:t xml:space="preserve">ist das </w:t>
      </w:r>
      <w:hyperlink r:id="rId36">
        <w:r w:rsidRPr="009610C4">
          <w:rPr>
            <w:color w:val="000000" w:themeColor="text1"/>
            <w:sz w:val="20"/>
            <w:szCs w:val="20"/>
          </w:rPr>
          <w:t>Europäische Patentamt (EPA)</w:t>
        </w:r>
      </w:hyperlink>
      <w:r w:rsidRPr="009610C4">
        <w:rPr>
          <w:color w:val="000000" w:themeColor="text1"/>
          <w:sz w:val="20"/>
          <w:szCs w:val="20"/>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45 Staaten erlangen, die zusammen einen Markt von rund 700 Millionen Menschen umfassen. Das EPA ist ferner weltweit führend in den Bereichen Patentinformation und Patentrecherche. </w:t>
      </w:r>
    </w:p>
    <w:p w:rsidRPr="009610C4" w:rsidR="1F550A24" w:rsidP="1F550A24" w:rsidRDefault="1F550A24" w14:paraId="566E1C04" w14:textId="5E7E17DC">
      <w:pPr>
        <w:pBdr>
          <w:top w:val="nil"/>
          <w:left w:val="nil"/>
          <w:bottom w:val="nil"/>
          <w:right w:val="nil"/>
          <w:between w:val="nil"/>
        </w:pBdr>
        <w:shd w:val="clear" w:color="auto" w:fill="FFFFFF" w:themeFill="background1"/>
        <w:jc w:val="both"/>
        <w:rPr>
          <w:color w:val="000000" w:themeColor="text1"/>
          <w:sz w:val="20"/>
          <w:szCs w:val="20"/>
        </w:rPr>
      </w:pPr>
    </w:p>
    <w:p w:rsidRPr="009610C4" w:rsidR="24470685" w:rsidP="1F550A24" w:rsidRDefault="24470685" w14:paraId="67FB6FB4" w14:textId="6BFEE899">
      <w:pPr>
        <w:pBdr>
          <w:top w:val="nil"/>
          <w:left w:val="nil"/>
          <w:bottom w:val="nil"/>
          <w:right w:val="nil"/>
          <w:between w:val="nil"/>
        </w:pBdr>
        <w:shd w:val="clear" w:color="auto" w:fill="FFFFFF" w:themeFill="background1"/>
        <w:jc w:val="both"/>
        <w:rPr>
          <w:b/>
          <w:bCs/>
          <w:color w:val="000000" w:themeColor="text1"/>
          <w:sz w:val="20"/>
          <w:szCs w:val="20"/>
        </w:rPr>
      </w:pPr>
      <w:r w:rsidRPr="009610C4">
        <w:rPr>
          <w:b/>
          <w:bCs/>
          <w:color w:val="000000" w:themeColor="text1"/>
          <w:sz w:val="20"/>
          <w:szCs w:val="20"/>
        </w:rPr>
        <w:t>Über den Patent Index</w:t>
      </w:r>
    </w:p>
    <w:p w:rsidRPr="009610C4" w:rsidR="24470685" w:rsidP="1F550A24" w:rsidRDefault="24470685" w14:paraId="51055670" w14:textId="57C0552B">
      <w:pPr>
        <w:pBdr>
          <w:top w:val="nil"/>
          <w:left w:val="nil"/>
          <w:bottom w:val="nil"/>
          <w:right w:val="nil"/>
          <w:between w:val="nil"/>
        </w:pBdr>
        <w:shd w:val="clear" w:color="auto" w:fill="FFFFFF" w:themeFill="background1"/>
        <w:jc w:val="both"/>
        <w:rPr>
          <w:color w:val="000000" w:themeColor="text1"/>
          <w:sz w:val="20"/>
          <w:szCs w:val="20"/>
        </w:rPr>
      </w:pPr>
      <w:r w:rsidRPr="009610C4">
        <w:rPr>
          <w:color w:val="000000" w:themeColor="text1"/>
          <w:sz w:val="20"/>
          <w:szCs w:val="20"/>
        </w:rPr>
        <w:t>Der Patent</w:t>
      </w:r>
      <w:r w:rsidRPr="009610C4" w:rsidR="00BD72F7">
        <w:rPr>
          <w:color w:val="000000" w:themeColor="text1"/>
          <w:sz w:val="20"/>
          <w:szCs w:val="20"/>
        </w:rPr>
        <w:t xml:space="preserve"> I</w:t>
      </w:r>
      <w:r w:rsidRPr="009610C4">
        <w:rPr>
          <w:color w:val="000000" w:themeColor="text1"/>
          <w:sz w:val="20"/>
          <w:szCs w:val="20"/>
        </w:rPr>
        <w:t xml:space="preserve">ndex ist ein Instrument, um globale Innovationstrends zu verfolgen. Er bietet Einblicke in Patentanmeldungsaktivitäten in verschiedenen Branchen und Regionen. Durch die Analyse von Patentdaten dient der Index als Barometer für </w:t>
      </w:r>
      <w:r w:rsidRPr="009610C4" w:rsidR="134D6661">
        <w:rPr>
          <w:color w:val="000000" w:themeColor="text1"/>
          <w:sz w:val="20"/>
          <w:szCs w:val="20"/>
        </w:rPr>
        <w:t xml:space="preserve">den </w:t>
      </w:r>
      <w:r w:rsidRPr="009610C4">
        <w:rPr>
          <w:color w:val="000000" w:themeColor="text1"/>
          <w:sz w:val="20"/>
          <w:szCs w:val="20"/>
        </w:rPr>
        <w:t xml:space="preserve">technologischen Fortschritt, </w:t>
      </w:r>
      <w:r w:rsidRPr="009610C4" w:rsidR="6B9803B8">
        <w:rPr>
          <w:color w:val="000000" w:themeColor="text1"/>
          <w:sz w:val="20"/>
          <w:szCs w:val="20"/>
        </w:rPr>
        <w:t xml:space="preserve">die </w:t>
      </w:r>
      <w:r w:rsidRPr="009610C4">
        <w:rPr>
          <w:color w:val="000000" w:themeColor="text1"/>
          <w:sz w:val="20"/>
          <w:szCs w:val="20"/>
        </w:rPr>
        <w:t xml:space="preserve">Investitionen </w:t>
      </w:r>
      <w:r w:rsidRPr="009610C4" w:rsidR="55FFA502">
        <w:rPr>
          <w:color w:val="000000" w:themeColor="text1"/>
          <w:sz w:val="20"/>
          <w:szCs w:val="20"/>
        </w:rPr>
        <w:t xml:space="preserve">in Forschung und Entwicklung </w:t>
      </w:r>
      <w:r w:rsidRPr="009610C4">
        <w:rPr>
          <w:color w:val="000000" w:themeColor="text1"/>
          <w:sz w:val="20"/>
          <w:szCs w:val="20"/>
        </w:rPr>
        <w:t>und d</w:t>
      </w:r>
      <w:r w:rsidRPr="009610C4" w:rsidR="458B3A45">
        <w:rPr>
          <w:color w:val="000000" w:themeColor="text1"/>
          <w:sz w:val="20"/>
          <w:szCs w:val="20"/>
        </w:rPr>
        <w:t>as</w:t>
      </w:r>
      <w:r w:rsidRPr="009610C4">
        <w:rPr>
          <w:color w:val="000000" w:themeColor="text1"/>
          <w:sz w:val="20"/>
          <w:szCs w:val="20"/>
        </w:rPr>
        <w:t xml:space="preserve"> Wettbewerbs</w:t>
      </w:r>
      <w:r w:rsidRPr="009610C4" w:rsidR="00D4CE35">
        <w:rPr>
          <w:color w:val="000000" w:themeColor="text1"/>
          <w:sz w:val="20"/>
          <w:szCs w:val="20"/>
        </w:rPr>
        <w:t>umfeld. Er</w:t>
      </w:r>
      <w:r w:rsidRPr="009610C4">
        <w:rPr>
          <w:color w:val="000000" w:themeColor="text1"/>
          <w:sz w:val="20"/>
          <w:szCs w:val="20"/>
        </w:rPr>
        <w:t xml:space="preserve"> hilft Unternehmen, politischen Entscheidungsträgern und Forschern</w:t>
      </w:r>
      <w:r w:rsidRPr="009610C4" w:rsidR="0381BE6C">
        <w:rPr>
          <w:color w:val="000000" w:themeColor="text1"/>
          <w:sz w:val="20"/>
          <w:szCs w:val="20"/>
        </w:rPr>
        <w:t xml:space="preserve"> dabei</w:t>
      </w:r>
      <w:r w:rsidRPr="009610C4">
        <w:rPr>
          <w:color w:val="000000" w:themeColor="text1"/>
          <w:sz w:val="20"/>
          <w:szCs w:val="20"/>
        </w:rPr>
        <w:t>, die sich verändernde Dynamik der aktuellen Innovationslandschaft zu verstehen.</w:t>
      </w:r>
    </w:p>
    <w:sectPr w:rsidRPr="009610C4" w:rsidR="24470685">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09D4" w:rsidP="00FB113F" w:rsidRDefault="00CD09D4" w14:paraId="739ADE76" w14:textId="77777777">
      <w:r>
        <w:separator/>
      </w:r>
    </w:p>
  </w:endnote>
  <w:endnote w:type="continuationSeparator" w:id="0">
    <w:p w:rsidR="00CD09D4" w:rsidP="00FB113F" w:rsidRDefault="00CD09D4" w14:paraId="3E1257B4" w14:textId="77777777">
      <w:r>
        <w:continuationSeparator/>
      </w:r>
    </w:p>
  </w:endnote>
  <w:endnote w:type="continuationNotice" w:id="1">
    <w:p w:rsidR="00CD09D4" w:rsidRDefault="00CD09D4" w14:paraId="138327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09D4" w:rsidP="00FB113F" w:rsidRDefault="00CD09D4" w14:paraId="329DCB42" w14:textId="77777777">
      <w:r>
        <w:separator/>
      </w:r>
    </w:p>
  </w:footnote>
  <w:footnote w:type="continuationSeparator" w:id="0">
    <w:p w:rsidR="00CD09D4" w:rsidP="00FB113F" w:rsidRDefault="00CD09D4" w14:paraId="045FCE2E" w14:textId="77777777">
      <w:r>
        <w:continuationSeparator/>
      </w:r>
    </w:p>
  </w:footnote>
  <w:footnote w:type="continuationNotice" w:id="1">
    <w:p w:rsidR="00CD09D4" w:rsidRDefault="00CD09D4" w14:paraId="34F465E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4143D2D8"/>
    <w:multiLevelType w:val="hybridMultilevel"/>
    <w:tmpl w:val="7550FF90"/>
    <w:lvl w:ilvl="0" w:tplc="62EA0ACC">
      <w:start w:val="1"/>
      <w:numFmt w:val="bullet"/>
      <w:lvlText w:val=""/>
      <w:lvlJc w:val="left"/>
      <w:pPr>
        <w:ind w:left="720" w:hanging="360"/>
      </w:pPr>
      <w:rPr>
        <w:rFonts w:hint="default" w:ascii="Symbol" w:hAnsi="Symbol"/>
      </w:rPr>
    </w:lvl>
    <w:lvl w:ilvl="1" w:tplc="885E02C4">
      <w:start w:val="1"/>
      <w:numFmt w:val="bullet"/>
      <w:lvlText w:val="o"/>
      <w:lvlJc w:val="left"/>
      <w:pPr>
        <w:ind w:left="1440" w:hanging="360"/>
      </w:pPr>
      <w:rPr>
        <w:rFonts w:hint="default" w:ascii="Courier New" w:hAnsi="Courier New"/>
      </w:rPr>
    </w:lvl>
    <w:lvl w:ilvl="2" w:tplc="59406654">
      <w:start w:val="1"/>
      <w:numFmt w:val="bullet"/>
      <w:lvlText w:val=""/>
      <w:lvlJc w:val="left"/>
      <w:pPr>
        <w:ind w:left="2160" w:hanging="360"/>
      </w:pPr>
      <w:rPr>
        <w:rFonts w:hint="default" w:ascii="Wingdings" w:hAnsi="Wingdings"/>
      </w:rPr>
    </w:lvl>
    <w:lvl w:ilvl="3" w:tplc="3BC8F120">
      <w:start w:val="1"/>
      <w:numFmt w:val="bullet"/>
      <w:lvlText w:val=""/>
      <w:lvlJc w:val="left"/>
      <w:pPr>
        <w:ind w:left="2880" w:hanging="360"/>
      </w:pPr>
      <w:rPr>
        <w:rFonts w:hint="default" w:ascii="Symbol" w:hAnsi="Symbol"/>
      </w:rPr>
    </w:lvl>
    <w:lvl w:ilvl="4" w:tplc="D93A14A8">
      <w:start w:val="1"/>
      <w:numFmt w:val="bullet"/>
      <w:lvlText w:val="o"/>
      <w:lvlJc w:val="left"/>
      <w:pPr>
        <w:ind w:left="3600" w:hanging="360"/>
      </w:pPr>
      <w:rPr>
        <w:rFonts w:hint="default" w:ascii="Courier New" w:hAnsi="Courier New"/>
      </w:rPr>
    </w:lvl>
    <w:lvl w:ilvl="5" w:tplc="B7E6A464">
      <w:start w:val="1"/>
      <w:numFmt w:val="bullet"/>
      <w:lvlText w:val=""/>
      <w:lvlJc w:val="left"/>
      <w:pPr>
        <w:ind w:left="4320" w:hanging="360"/>
      </w:pPr>
      <w:rPr>
        <w:rFonts w:hint="default" w:ascii="Wingdings" w:hAnsi="Wingdings"/>
      </w:rPr>
    </w:lvl>
    <w:lvl w:ilvl="6" w:tplc="2D7C78F8">
      <w:start w:val="1"/>
      <w:numFmt w:val="bullet"/>
      <w:lvlText w:val=""/>
      <w:lvlJc w:val="left"/>
      <w:pPr>
        <w:ind w:left="5040" w:hanging="360"/>
      </w:pPr>
      <w:rPr>
        <w:rFonts w:hint="default" w:ascii="Symbol" w:hAnsi="Symbol"/>
      </w:rPr>
    </w:lvl>
    <w:lvl w:ilvl="7" w:tplc="5FCC99EC">
      <w:start w:val="1"/>
      <w:numFmt w:val="bullet"/>
      <w:lvlText w:val="o"/>
      <w:lvlJc w:val="left"/>
      <w:pPr>
        <w:ind w:left="5760" w:hanging="360"/>
      </w:pPr>
      <w:rPr>
        <w:rFonts w:hint="default" w:ascii="Courier New" w:hAnsi="Courier New"/>
      </w:rPr>
    </w:lvl>
    <w:lvl w:ilvl="8" w:tplc="95A20866">
      <w:start w:val="1"/>
      <w:numFmt w:val="bullet"/>
      <w:lvlText w:val=""/>
      <w:lvlJc w:val="left"/>
      <w:pPr>
        <w:ind w:left="6480" w:hanging="360"/>
      </w:pPr>
      <w:rPr>
        <w:rFonts w:hint="default" w:ascii="Wingdings" w:hAnsi="Wingdings"/>
      </w:rPr>
    </w:lvl>
  </w:abstractNum>
  <w:abstractNum w:abstractNumId="4" w15:restartNumberingAfterBreak="0">
    <w:nsid w:val="44AF3D27"/>
    <w:multiLevelType w:val="hybridMultilevel"/>
    <w:tmpl w:val="6928AAC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801994658">
    <w:abstractNumId w:val="3"/>
  </w:num>
  <w:num w:numId="2" w16cid:durableId="958225809">
    <w:abstractNumId w:val="2"/>
  </w:num>
  <w:num w:numId="3" w16cid:durableId="848561889">
    <w:abstractNumId w:val="1"/>
  </w:num>
  <w:num w:numId="4" w16cid:durableId="1672638925">
    <w:abstractNumId w:val="0"/>
  </w:num>
  <w:num w:numId="5" w16cid:durableId="91759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601535">
    <w:abstractNumId w:val="4"/>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68A"/>
    <w:rsid w:val="00003720"/>
    <w:rsid w:val="00003AA7"/>
    <w:rsid w:val="00003FF8"/>
    <w:rsid w:val="000127CF"/>
    <w:rsid w:val="00012A38"/>
    <w:rsid w:val="00012CE6"/>
    <w:rsid w:val="00013210"/>
    <w:rsid w:val="00017044"/>
    <w:rsid w:val="00020959"/>
    <w:rsid w:val="00020CA9"/>
    <w:rsid w:val="00021F1B"/>
    <w:rsid w:val="00022D2E"/>
    <w:rsid w:val="00025E63"/>
    <w:rsid w:val="00026365"/>
    <w:rsid w:val="000301FB"/>
    <w:rsid w:val="00030B35"/>
    <w:rsid w:val="0003132E"/>
    <w:rsid w:val="0003205F"/>
    <w:rsid w:val="00032781"/>
    <w:rsid w:val="000347C1"/>
    <w:rsid w:val="00034BFE"/>
    <w:rsid w:val="000355F5"/>
    <w:rsid w:val="0003623C"/>
    <w:rsid w:val="00036DF3"/>
    <w:rsid w:val="000414D3"/>
    <w:rsid w:val="00042EE4"/>
    <w:rsid w:val="00043017"/>
    <w:rsid w:val="00043136"/>
    <w:rsid w:val="00054F83"/>
    <w:rsid w:val="00055BB5"/>
    <w:rsid w:val="00055D05"/>
    <w:rsid w:val="00055E2A"/>
    <w:rsid w:val="000602BD"/>
    <w:rsid w:val="00061072"/>
    <w:rsid w:val="00061210"/>
    <w:rsid w:val="00061987"/>
    <w:rsid w:val="00061A17"/>
    <w:rsid w:val="00062893"/>
    <w:rsid w:val="00064571"/>
    <w:rsid w:val="00064A57"/>
    <w:rsid w:val="00067057"/>
    <w:rsid w:val="00067D1C"/>
    <w:rsid w:val="00071202"/>
    <w:rsid w:val="00072316"/>
    <w:rsid w:val="00072CAB"/>
    <w:rsid w:val="00075C69"/>
    <w:rsid w:val="00075FEE"/>
    <w:rsid w:val="0008037B"/>
    <w:rsid w:val="00087CF2"/>
    <w:rsid w:val="00093A9E"/>
    <w:rsid w:val="00093F2B"/>
    <w:rsid w:val="0009489A"/>
    <w:rsid w:val="000952AE"/>
    <w:rsid w:val="00095C5A"/>
    <w:rsid w:val="00096435"/>
    <w:rsid w:val="000965F2"/>
    <w:rsid w:val="00096632"/>
    <w:rsid w:val="00097086"/>
    <w:rsid w:val="000A19CB"/>
    <w:rsid w:val="000A1A61"/>
    <w:rsid w:val="000A4DD2"/>
    <w:rsid w:val="000A5AF8"/>
    <w:rsid w:val="000B05B1"/>
    <w:rsid w:val="000B0754"/>
    <w:rsid w:val="000B08C9"/>
    <w:rsid w:val="000B17C8"/>
    <w:rsid w:val="000B577D"/>
    <w:rsid w:val="000C1A02"/>
    <w:rsid w:val="000C2AE0"/>
    <w:rsid w:val="000C3624"/>
    <w:rsid w:val="000C531D"/>
    <w:rsid w:val="000D07A1"/>
    <w:rsid w:val="000D1277"/>
    <w:rsid w:val="000D23F1"/>
    <w:rsid w:val="000D35E4"/>
    <w:rsid w:val="000D456A"/>
    <w:rsid w:val="000D51D3"/>
    <w:rsid w:val="000D5693"/>
    <w:rsid w:val="000D69C5"/>
    <w:rsid w:val="000E381F"/>
    <w:rsid w:val="000E53C9"/>
    <w:rsid w:val="000E721C"/>
    <w:rsid w:val="000E9F7A"/>
    <w:rsid w:val="000F187D"/>
    <w:rsid w:val="000F41B1"/>
    <w:rsid w:val="000F6458"/>
    <w:rsid w:val="000F6464"/>
    <w:rsid w:val="000F67C4"/>
    <w:rsid w:val="000F6F1B"/>
    <w:rsid w:val="000F7018"/>
    <w:rsid w:val="000F7441"/>
    <w:rsid w:val="001026B2"/>
    <w:rsid w:val="0010315D"/>
    <w:rsid w:val="0010373F"/>
    <w:rsid w:val="001065EC"/>
    <w:rsid w:val="0010693E"/>
    <w:rsid w:val="00110546"/>
    <w:rsid w:val="00115D8F"/>
    <w:rsid w:val="00116512"/>
    <w:rsid w:val="001167F1"/>
    <w:rsid w:val="001179F7"/>
    <w:rsid w:val="001210EC"/>
    <w:rsid w:val="00124CBB"/>
    <w:rsid w:val="001268C0"/>
    <w:rsid w:val="001321AD"/>
    <w:rsid w:val="0013234C"/>
    <w:rsid w:val="00133DD1"/>
    <w:rsid w:val="00134ACB"/>
    <w:rsid w:val="00134B34"/>
    <w:rsid w:val="00134C1A"/>
    <w:rsid w:val="001352C6"/>
    <w:rsid w:val="00135FD4"/>
    <w:rsid w:val="00140AB6"/>
    <w:rsid w:val="00141227"/>
    <w:rsid w:val="00142214"/>
    <w:rsid w:val="00146A54"/>
    <w:rsid w:val="001472BD"/>
    <w:rsid w:val="00147E79"/>
    <w:rsid w:val="00150CEB"/>
    <w:rsid w:val="00152076"/>
    <w:rsid w:val="00152B9B"/>
    <w:rsid w:val="00153979"/>
    <w:rsid w:val="0015449C"/>
    <w:rsid w:val="00157626"/>
    <w:rsid w:val="00157E44"/>
    <w:rsid w:val="001600FD"/>
    <w:rsid w:val="001627F3"/>
    <w:rsid w:val="00163957"/>
    <w:rsid w:val="001639CF"/>
    <w:rsid w:val="00163CA8"/>
    <w:rsid w:val="001659CC"/>
    <w:rsid w:val="0016606E"/>
    <w:rsid w:val="00170D3C"/>
    <w:rsid w:val="00173C78"/>
    <w:rsid w:val="00176EBA"/>
    <w:rsid w:val="00177EA6"/>
    <w:rsid w:val="00180710"/>
    <w:rsid w:val="0018072C"/>
    <w:rsid w:val="00180752"/>
    <w:rsid w:val="00181B89"/>
    <w:rsid w:val="00184B9B"/>
    <w:rsid w:val="0018502D"/>
    <w:rsid w:val="00186EED"/>
    <w:rsid w:val="001879F3"/>
    <w:rsid w:val="0018D25F"/>
    <w:rsid w:val="001901E5"/>
    <w:rsid w:val="00194198"/>
    <w:rsid w:val="001943CB"/>
    <w:rsid w:val="00195BE3"/>
    <w:rsid w:val="00196BF9"/>
    <w:rsid w:val="0019797D"/>
    <w:rsid w:val="001A0E77"/>
    <w:rsid w:val="001A1A4A"/>
    <w:rsid w:val="001A1F1F"/>
    <w:rsid w:val="001A2D8D"/>
    <w:rsid w:val="001A3119"/>
    <w:rsid w:val="001A4211"/>
    <w:rsid w:val="001A444F"/>
    <w:rsid w:val="001A5A00"/>
    <w:rsid w:val="001B0A5E"/>
    <w:rsid w:val="001B2820"/>
    <w:rsid w:val="001B3161"/>
    <w:rsid w:val="001B34CC"/>
    <w:rsid w:val="001B41C5"/>
    <w:rsid w:val="001B673C"/>
    <w:rsid w:val="001B7BDC"/>
    <w:rsid w:val="001C0DBD"/>
    <w:rsid w:val="001C6289"/>
    <w:rsid w:val="001C655D"/>
    <w:rsid w:val="001C7BBA"/>
    <w:rsid w:val="001D045D"/>
    <w:rsid w:val="001D0E59"/>
    <w:rsid w:val="001D160A"/>
    <w:rsid w:val="001D3ED4"/>
    <w:rsid w:val="001D3F69"/>
    <w:rsid w:val="001D3FBF"/>
    <w:rsid w:val="001D5C3D"/>
    <w:rsid w:val="001D620D"/>
    <w:rsid w:val="001D6D99"/>
    <w:rsid w:val="001E25FD"/>
    <w:rsid w:val="001E50B4"/>
    <w:rsid w:val="001E5EC1"/>
    <w:rsid w:val="001E6AFC"/>
    <w:rsid w:val="001F1772"/>
    <w:rsid w:val="001F1A97"/>
    <w:rsid w:val="001F1F68"/>
    <w:rsid w:val="001F576F"/>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3AAC"/>
    <w:rsid w:val="00233CC8"/>
    <w:rsid w:val="00233EFF"/>
    <w:rsid w:val="00234862"/>
    <w:rsid w:val="00235B6C"/>
    <w:rsid w:val="00241860"/>
    <w:rsid w:val="0024478E"/>
    <w:rsid w:val="00251413"/>
    <w:rsid w:val="00253628"/>
    <w:rsid w:val="00255F5C"/>
    <w:rsid w:val="002611FC"/>
    <w:rsid w:val="00264594"/>
    <w:rsid w:val="00264881"/>
    <w:rsid w:val="00270C58"/>
    <w:rsid w:val="0027148A"/>
    <w:rsid w:val="00272D18"/>
    <w:rsid w:val="00272DF4"/>
    <w:rsid w:val="00273841"/>
    <w:rsid w:val="00274471"/>
    <w:rsid w:val="00277963"/>
    <w:rsid w:val="0028099E"/>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30020D"/>
    <w:rsid w:val="003019D8"/>
    <w:rsid w:val="00305983"/>
    <w:rsid w:val="003072A8"/>
    <w:rsid w:val="003103D3"/>
    <w:rsid w:val="00312153"/>
    <w:rsid w:val="0031558E"/>
    <w:rsid w:val="00317399"/>
    <w:rsid w:val="003206B0"/>
    <w:rsid w:val="00320E4F"/>
    <w:rsid w:val="00320FD0"/>
    <w:rsid w:val="00321F1E"/>
    <w:rsid w:val="0033187D"/>
    <w:rsid w:val="0033292F"/>
    <w:rsid w:val="003354DD"/>
    <w:rsid w:val="00337364"/>
    <w:rsid w:val="00340D93"/>
    <w:rsid w:val="00341BB6"/>
    <w:rsid w:val="003467EB"/>
    <w:rsid w:val="0034787E"/>
    <w:rsid w:val="003511E3"/>
    <w:rsid w:val="00352B89"/>
    <w:rsid w:val="00357DAA"/>
    <w:rsid w:val="00361257"/>
    <w:rsid w:val="003614D8"/>
    <w:rsid w:val="00361765"/>
    <w:rsid w:val="00361898"/>
    <w:rsid w:val="00363439"/>
    <w:rsid w:val="00363882"/>
    <w:rsid w:val="003661F2"/>
    <w:rsid w:val="003712E5"/>
    <w:rsid w:val="0037151E"/>
    <w:rsid w:val="00372033"/>
    <w:rsid w:val="00372266"/>
    <w:rsid w:val="003722C3"/>
    <w:rsid w:val="00373B99"/>
    <w:rsid w:val="00380392"/>
    <w:rsid w:val="0038376B"/>
    <w:rsid w:val="00385332"/>
    <w:rsid w:val="003975B5"/>
    <w:rsid w:val="003A026F"/>
    <w:rsid w:val="003A4935"/>
    <w:rsid w:val="003A689C"/>
    <w:rsid w:val="003A68F2"/>
    <w:rsid w:val="003A73D1"/>
    <w:rsid w:val="003B1A1A"/>
    <w:rsid w:val="003B1E91"/>
    <w:rsid w:val="003B3955"/>
    <w:rsid w:val="003B41BF"/>
    <w:rsid w:val="003C01CE"/>
    <w:rsid w:val="003C05E7"/>
    <w:rsid w:val="003C18D3"/>
    <w:rsid w:val="003C1C74"/>
    <w:rsid w:val="003C2D30"/>
    <w:rsid w:val="003C3E65"/>
    <w:rsid w:val="003C4BF5"/>
    <w:rsid w:val="003C5AC2"/>
    <w:rsid w:val="003C6D89"/>
    <w:rsid w:val="003C73CB"/>
    <w:rsid w:val="003D03A4"/>
    <w:rsid w:val="003D2047"/>
    <w:rsid w:val="003D24F4"/>
    <w:rsid w:val="003D2A31"/>
    <w:rsid w:val="003D35F3"/>
    <w:rsid w:val="003D43D6"/>
    <w:rsid w:val="003D6148"/>
    <w:rsid w:val="003E0C62"/>
    <w:rsid w:val="003E1FF4"/>
    <w:rsid w:val="003E2832"/>
    <w:rsid w:val="003E4557"/>
    <w:rsid w:val="003E534A"/>
    <w:rsid w:val="003E6C0A"/>
    <w:rsid w:val="003E7CED"/>
    <w:rsid w:val="003F2724"/>
    <w:rsid w:val="003F27E7"/>
    <w:rsid w:val="003F4F03"/>
    <w:rsid w:val="003F56E2"/>
    <w:rsid w:val="003F725F"/>
    <w:rsid w:val="00403149"/>
    <w:rsid w:val="00403FBC"/>
    <w:rsid w:val="00404BC5"/>
    <w:rsid w:val="00406554"/>
    <w:rsid w:val="0041183E"/>
    <w:rsid w:val="00415839"/>
    <w:rsid w:val="00415923"/>
    <w:rsid w:val="004177A4"/>
    <w:rsid w:val="00420C5B"/>
    <w:rsid w:val="00420D98"/>
    <w:rsid w:val="00421257"/>
    <w:rsid w:val="00423AAB"/>
    <w:rsid w:val="004276C6"/>
    <w:rsid w:val="00431DC5"/>
    <w:rsid w:val="004321E5"/>
    <w:rsid w:val="00433CE3"/>
    <w:rsid w:val="00434D25"/>
    <w:rsid w:val="00442A19"/>
    <w:rsid w:val="00442B48"/>
    <w:rsid w:val="00443607"/>
    <w:rsid w:val="0044455F"/>
    <w:rsid w:val="004452AF"/>
    <w:rsid w:val="004456EB"/>
    <w:rsid w:val="00447D15"/>
    <w:rsid w:val="00450508"/>
    <w:rsid w:val="00450CEC"/>
    <w:rsid w:val="00454CE9"/>
    <w:rsid w:val="00456611"/>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72D8"/>
    <w:rsid w:val="00492E85"/>
    <w:rsid w:val="00494811"/>
    <w:rsid w:val="00494A86"/>
    <w:rsid w:val="004955CE"/>
    <w:rsid w:val="00495CF8"/>
    <w:rsid w:val="004A0726"/>
    <w:rsid w:val="004A1EB3"/>
    <w:rsid w:val="004A2415"/>
    <w:rsid w:val="004A2D97"/>
    <w:rsid w:val="004A3C5C"/>
    <w:rsid w:val="004A3FBD"/>
    <w:rsid w:val="004A4BDD"/>
    <w:rsid w:val="004A4D27"/>
    <w:rsid w:val="004A9029"/>
    <w:rsid w:val="004B054C"/>
    <w:rsid w:val="004B22CE"/>
    <w:rsid w:val="004B3D80"/>
    <w:rsid w:val="004B4150"/>
    <w:rsid w:val="004B7313"/>
    <w:rsid w:val="004C3490"/>
    <w:rsid w:val="004C36CF"/>
    <w:rsid w:val="004C3D73"/>
    <w:rsid w:val="004C45B4"/>
    <w:rsid w:val="004C48DB"/>
    <w:rsid w:val="004C5394"/>
    <w:rsid w:val="004C5902"/>
    <w:rsid w:val="004C7778"/>
    <w:rsid w:val="004D01F8"/>
    <w:rsid w:val="004D0618"/>
    <w:rsid w:val="004D0DDB"/>
    <w:rsid w:val="004D1876"/>
    <w:rsid w:val="004D47FC"/>
    <w:rsid w:val="004D60F7"/>
    <w:rsid w:val="004D69B8"/>
    <w:rsid w:val="004D69E8"/>
    <w:rsid w:val="004E0A6F"/>
    <w:rsid w:val="004E12F4"/>
    <w:rsid w:val="004E59BD"/>
    <w:rsid w:val="004E5D2E"/>
    <w:rsid w:val="004E61B1"/>
    <w:rsid w:val="004E6355"/>
    <w:rsid w:val="004E74A5"/>
    <w:rsid w:val="004E74FB"/>
    <w:rsid w:val="004F28DA"/>
    <w:rsid w:val="004F2B43"/>
    <w:rsid w:val="004F633E"/>
    <w:rsid w:val="004F6DD6"/>
    <w:rsid w:val="00502B9B"/>
    <w:rsid w:val="005036C3"/>
    <w:rsid w:val="0050496D"/>
    <w:rsid w:val="005051D4"/>
    <w:rsid w:val="005056C7"/>
    <w:rsid w:val="005136FE"/>
    <w:rsid w:val="005158E4"/>
    <w:rsid w:val="00516DC0"/>
    <w:rsid w:val="0051707D"/>
    <w:rsid w:val="00523102"/>
    <w:rsid w:val="00523A91"/>
    <w:rsid w:val="0052528D"/>
    <w:rsid w:val="005260F9"/>
    <w:rsid w:val="00527727"/>
    <w:rsid w:val="005277FB"/>
    <w:rsid w:val="00530228"/>
    <w:rsid w:val="00530305"/>
    <w:rsid w:val="00532675"/>
    <w:rsid w:val="00535ABB"/>
    <w:rsid w:val="005361CE"/>
    <w:rsid w:val="00536833"/>
    <w:rsid w:val="00537BFC"/>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5EF0"/>
    <w:rsid w:val="005661E6"/>
    <w:rsid w:val="00570887"/>
    <w:rsid w:val="0057706D"/>
    <w:rsid w:val="005811FA"/>
    <w:rsid w:val="00581832"/>
    <w:rsid w:val="00582700"/>
    <w:rsid w:val="00584932"/>
    <w:rsid w:val="00584F27"/>
    <w:rsid w:val="00584F89"/>
    <w:rsid w:val="00585901"/>
    <w:rsid w:val="00586218"/>
    <w:rsid w:val="00587D29"/>
    <w:rsid w:val="005937E7"/>
    <w:rsid w:val="00593893"/>
    <w:rsid w:val="00596227"/>
    <w:rsid w:val="005969A6"/>
    <w:rsid w:val="00596CA9"/>
    <w:rsid w:val="00596F47"/>
    <w:rsid w:val="0059714D"/>
    <w:rsid w:val="005A0F79"/>
    <w:rsid w:val="005A1945"/>
    <w:rsid w:val="005A5F16"/>
    <w:rsid w:val="005A7389"/>
    <w:rsid w:val="005B4EE8"/>
    <w:rsid w:val="005B5711"/>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F4A0B"/>
    <w:rsid w:val="005F62AD"/>
    <w:rsid w:val="005F6512"/>
    <w:rsid w:val="005F683F"/>
    <w:rsid w:val="005F77B1"/>
    <w:rsid w:val="005F7BF0"/>
    <w:rsid w:val="005F7EB3"/>
    <w:rsid w:val="00600354"/>
    <w:rsid w:val="006012D9"/>
    <w:rsid w:val="00603B5C"/>
    <w:rsid w:val="006042DC"/>
    <w:rsid w:val="00606D17"/>
    <w:rsid w:val="00607CCA"/>
    <w:rsid w:val="00611198"/>
    <w:rsid w:val="00611316"/>
    <w:rsid w:val="006113C3"/>
    <w:rsid w:val="0061251E"/>
    <w:rsid w:val="00612AC5"/>
    <w:rsid w:val="006137E3"/>
    <w:rsid w:val="00614618"/>
    <w:rsid w:val="00614BC9"/>
    <w:rsid w:val="006158F1"/>
    <w:rsid w:val="00616C9C"/>
    <w:rsid w:val="00617584"/>
    <w:rsid w:val="00620094"/>
    <w:rsid w:val="0062079C"/>
    <w:rsid w:val="0062152F"/>
    <w:rsid w:val="00623A90"/>
    <w:rsid w:val="00624A17"/>
    <w:rsid w:val="00624AE1"/>
    <w:rsid w:val="0063002A"/>
    <w:rsid w:val="00632BF5"/>
    <w:rsid w:val="0063549C"/>
    <w:rsid w:val="00635A36"/>
    <w:rsid w:val="00636E13"/>
    <w:rsid w:val="0064004A"/>
    <w:rsid w:val="00640CE4"/>
    <w:rsid w:val="006425FC"/>
    <w:rsid w:val="0064383D"/>
    <w:rsid w:val="006458DA"/>
    <w:rsid w:val="00645AA3"/>
    <w:rsid w:val="00650EE5"/>
    <w:rsid w:val="00651BC8"/>
    <w:rsid w:val="00653078"/>
    <w:rsid w:val="00655D8D"/>
    <w:rsid w:val="006566BA"/>
    <w:rsid w:val="0066054E"/>
    <w:rsid w:val="006642CD"/>
    <w:rsid w:val="006653E5"/>
    <w:rsid w:val="00665599"/>
    <w:rsid w:val="006672E9"/>
    <w:rsid w:val="00671694"/>
    <w:rsid w:val="006720E7"/>
    <w:rsid w:val="00672876"/>
    <w:rsid w:val="006729F2"/>
    <w:rsid w:val="0067670B"/>
    <w:rsid w:val="00681A3F"/>
    <w:rsid w:val="00683B85"/>
    <w:rsid w:val="00685415"/>
    <w:rsid w:val="00685A07"/>
    <w:rsid w:val="00687416"/>
    <w:rsid w:val="006913DF"/>
    <w:rsid w:val="0069190A"/>
    <w:rsid w:val="00695417"/>
    <w:rsid w:val="0069798F"/>
    <w:rsid w:val="006A4510"/>
    <w:rsid w:val="006A4843"/>
    <w:rsid w:val="006A5ACB"/>
    <w:rsid w:val="006A5C77"/>
    <w:rsid w:val="006B0234"/>
    <w:rsid w:val="006B1B18"/>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3A3B"/>
    <w:rsid w:val="006D42B2"/>
    <w:rsid w:val="006D56FD"/>
    <w:rsid w:val="006D6964"/>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701FD1"/>
    <w:rsid w:val="0070281E"/>
    <w:rsid w:val="00703479"/>
    <w:rsid w:val="00703A54"/>
    <w:rsid w:val="00707A34"/>
    <w:rsid w:val="0071106C"/>
    <w:rsid w:val="007119DE"/>
    <w:rsid w:val="00715A1E"/>
    <w:rsid w:val="007176BC"/>
    <w:rsid w:val="00717B29"/>
    <w:rsid w:val="00717BFB"/>
    <w:rsid w:val="0072137D"/>
    <w:rsid w:val="00723080"/>
    <w:rsid w:val="00723823"/>
    <w:rsid w:val="007260E0"/>
    <w:rsid w:val="00731FF0"/>
    <w:rsid w:val="00734C26"/>
    <w:rsid w:val="007351C7"/>
    <w:rsid w:val="00735EDF"/>
    <w:rsid w:val="00736591"/>
    <w:rsid w:val="00736BCE"/>
    <w:rsid w:val="00737020"/>
    <w:rsid w:val="00741D17"/>
    <w:rsid w:val="0074338B"/>
    <w:rsid w:val="00743D6C"/>
    <w:rsid w:val="007504E5"/>
    <w:rsid w:val="007530A4"/>
    <w:rsid w:val="0075399C"/>
    <w:rsid w:val="00756D82"/>
    <w:rsid w:val="00761962"/>
    <w:rsid w:val="00761C45"/>
    <w:rsid w:val="00762BD9"/>
    <w:rsid w:val="00765888"/>
    <w:rsid w:val="00766391"/>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A592C"/>
    <w:rsid w:val="007A695F"/>
    <w:rsid w:val="007B0277"/>
    <w:rsid w:val="007B09F4"/>
    <w:rsid w:val="007B0E13"/>
    <w:rsid w:val="007B2EF4"/>
    <w:rsid w:val="007B5502"/>
    <w:rsid w:val="007B56E3"/>
    <w:rsid w:val="007B78EA"/>
    <w:rsid w:val="007C0850"/>
    <w:rsid w:val="007C116A"/>
    <w:rsid w:val="007C2F0E"/>
    <w:rsid w:val="007C3833"/>
    <w:rsid w:val="007C53DE"/>
    <w:rsid w:val="007C6511"/>
    <w:rsid w:val="007D0F14"/>
    <w:rsid w:val="007D1B6F"/>
    <w:rsid w:val="007D23D2"/>
    <w:rsid w:val="007D443C"/>
    <w:rsid w:val="007D4BCF"/>
    <w:rsid w:val="007D4F6D"/>
    <w:rsid w:val="007D620B"/>
    <w:rsid w:val="007D63F2"/>
    <w:rsid w:val="007D7F10"/>
    <w:rsid w:val="007E231C"/>
    <w:rsid w:val="007E5420"/>
    <w:rsid w:val="007F3F1D"/>
    <w:rsid w:val="007F4516"/>
    <w:rsid w:val="007F57CF"/>
    <w:rsid w:val="007F736F"/>
    <w:rsid w:val="008007F9"/>
    <w:rsid w:val="00800BE9"/>
    <w:rsid w:val="00803377"/>
    <w:rsid w:val="008035B4"/>
    <w:rsid w:val="00810926"/>
    <w:rsid w:val="00813D3D"/>
    <w:rsid w:val="00813E5F"/>
    <w:rsid w:val="00814393"/>
    <w:rsid w:val="008205CC"/>
    <w:rsid w:val="008216F3"/>
    <w:rsid w:val="00822035"/>
    <w:rsid w:val="0082282B"/>
    <w:rsid w:val="0082445E"/>
    <w:rsid w:val="0082620B"/>
    <w:rsid w:val="008353B7"/>
    <w:rsid w:val="008366D0"/>
    <w:rsid w:val="008424B2"/>
    <w:rsid w:val="00845B94"/>
    <w:rsid w:val="00845BAC"/>
    <w:rsid w:val="00846280"/>
    <w:rsid w:val="00847499"/>
    <w:rsid w:val="00850F36"/>
    <w:rsid w:val="00854142"/>
    <w:rsid w:val="00855997"/>
    <w:rsid w:val="0085599C"/>
    <w:rsid w:val="00857D1B"/>
    <w:rsid w:val="00862515"/>
    <w:rsid w:val="0086278C"/>
    <w:rsid w:val="00862967"/>
    <w:rsid w:val="00863707"/>
    <w:rsid w:val="008639BB"/>
    <w:rsid w:val="008644E1"/>
    <w:rsid w:val="008647D8"/>
    <w:rsid w:val="00864E59"/>
    <w:rsid w:val="00865B83"/>
    <w:rsid w:val="008707F5"/>
    <w:rsid w:val="00870C5B"/>
    <w:rsid w:val="00873DBF"/>
    <w:rsid w:val="008749EE"/>
    <w:rsid w:val="008807AE"/>
    <w:rsid w:val="00883357"/>
    <w:rsid w:val="00883CF9"/>
    <w:rsid w:val="0088460D"/>
    <w:rsid w:val="00885B5C"/>
    <w:rsid w:val="00886022"/>
    <w:rsid w:val="008905A8"/>
    <w:rsid w:val="00892C27"/>
    <w:rsid w:val="00895D68"/>
    <w:rsid w:val="008975A5"/>
    <w:rsid w:val="008A2C59"/>
    <w:rsid w:val="008A3498"/>
    <w:rsid w:val="008A3BA1"/>
    <w:rsid w:val="008A5E70"/>
    <w:rsid w:val="008B06C9"/>
    <w:rsid w:val="008B082A"/>
    <w:rsid w:val="008B0AE9"/>
    <w:rsid w:val="008B4CB3"/>
    <w:rsid w:val="008B4CB5"/>
    <w:rsid w:val="008B6D22"/>
    <w:rsid w:val="008B70B9"/>
    <w:rsid w:val="008C1636"/>
    <w:rsid w:val="008C1BC2"/>
    <w:rsid w:val="008C45B0"/>
    <w:rsid w:val="008C6BAF"/>
    <w:rsid w:val="008D3F1A"/>
    <w:rsid w:val="008E0B84"/>
    <w:rsid w:val="008E2464"/>
    <w:rsid w:val="008E2A3F"/>
    <w:rsid w:val="008E31E4"/>
    <w:rsid w:val="008E3408"/>
    <w:rsid w:val="008E3551"/>
    <w:rsid w:val="008E3612"/>
    <w:rsid w:val="008E6056"/>
    <w:rsid w:val="008E656A"/>
    <w:rsid w:val="008F10B1"/>
    <w:rsid w:val="008F5052"/>
    <w:rsid w:val="008F6396"/>
    <w:rsid w:val="00900A4E"/>
    <w:rsid w:val="00901DDF"/>
    <w:rsid w:val="00902A2D"/>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462AE"/>
    <w:rsid w:val="009531A1"/>
    <w:rsid w:val="00954B0D"/>
    <w:rsid w:val="0095548A"/>
    <w:rsid w:val="009555D3"/>
    <w:rsid w:val="0095710B"/>
    <w:rsid w:val="009610C4"/>
    <w:rsid w:val="009618C0"/>
    <w:rsid w:val="00963B22"/>
    <w:rsid w:val="00964EB2"/>
    <w:rsid w:val="00965408"/>
    <w:rsid w:val="009657DC"/>
    <w:rsid w:val="00966691"/>
    <w:rsid w:val="00970C8E"/>
    <w:rsid w:val="009719C8"/>
    <w:rsid w:val="00973F86"/>
    <w:rsid w:val="009746DD"/>
    <w:rsid w:val="00974B8F"/>
    <w:rsid w:val="00977299"/>
    <w:rsid w:val="009774A4"/>
    <w:rsid w:val="009806FE"/>
    <w:rsid w:val="00982380"/>
    <w:rsid w:val="009825DB"/>
    <w:rsid w:val="009827FC"/>
    <w:rsid w:val="00985A2B"/>
    <w:rsid w:val="00986983"/>
    <w:rsid w:val="00990654"/>
    <w:rsid w:val="00992444"/>
    <w:rsid w:val="00992CA4"/>
    <w:rsid w:val="00996225"/>
    <w:rsid w:val="009A029E"/>
    <w:rsid w:val="009A3C0A"/>
    <w:rsid w:val="009A4112"/>
    <w:rsid w:val="009A59E4"/>
    <w:rsid w:val="009A6DA4"/>
    <w:rsid w:val="009A756B"/>
    <w:rsid w:val="009A7E53"/>
    <w:rsid w:val="009B0909"/>
    <w:rsid w:val="009B0AD8"/>
    <w:rsid w:val="009B39BB"/>
    <w:rsid w:val="009B6C94"/>
    <w:rsid w:val="009B7303"/>
    <w:rsid w:val="009C0BC7"/>
    <w:rsid w:val="009C1D2E"/>
    <w:rsid w:val="009C3364"/>
    <w:rsid w:val="009C6486"/>
    <w:rsid w:val="009D0577"/>
    <w:rsid w:val="009D3392"/>
    <w:rsid w:val="009D4569"/>
    <w:rsid w:val="009D4DF3"/>
    <w:rsid w:val="009D6285"/>
    <w:rsid w:val="009E159D"/>
    <w:rsid w:val="009E1DF8"/>
    <w:rsid w:val="009E22C5"/>
    <w:rsid w:val="009E279E"/>
    <w:rsid w:val="009E2E45"/>
    <w:rsid w:val="009E4C10"/>
    <w:rsid w:val="009E50FC"/>
    <w:rsid w:val="009E527B"/>
    <w:rsid w:val="009E56D1"/>
    <w:rsid w:val="009E7C9C"/>
    <w:rsid w:val="009E7EFE"/>
    <w:rsid w:val="009F0E56"/>
    <w:rsid w:val="009F132C"/>
    <w:rsid w:val="009F5685"/>
    <w:rsid w:val="009F6E15"/>
    <w:rsid w:val="00A022D5"/>
    <w:rsid w:val="00A02405"/>
    <w:rsid w:val="00A0548A"/>
    <w:rsid w:val="00A079DD"/>
    <w:rsid w:val="00A10ACB"/>
    <w:rsid w:val="00A1138C"/>
    <w:rsid w:val="00A11EF9"/>
    <w:rsid w:val="00A1289D"/>
    <w:rsid w:val="00A147D9"/>
    <w:rsid w:val="00A15896"/>
    <w:rsid w:val="00A23803"/>
    <w:rsid w:val="00A247EF"/>
    <w:rsid w:val="00A24C26"/>
    <w:rsid w:val="00A24FA3"/>
    <w:rsid w:val="00A25307"/>
    <w:rsid w:val="00A25470"/>
    <w:rsid w:val="00A258C8"/>
    <w:rsid w:val="00A26675"/>
    <w:rsid w:val="00A26C47"/>
    <w:rsid w:val="00A316EA"/>
    <w:rsid w:val="00A31B69"/>
    <w:rsid w:val="00A31C0E"/>
    <w:rsid w:val="00A34091"/>
    <w:rsid w:val="00A37DC1"/>
    <w:rsid w:val="00A401C0"/>
    <w:rsid w:val="00A41CEF"/>
    <w:rsid w:val="00A42679"/>
    <w:rsid w:val="00A429AA"/>
    <w:rsid w:val="00A439E6"/>
    <w:rsid w:val="00A456F0"/>
    <w:rsid w:val="00A45B5D"/>
    <w:rsid w:val="00A46985"/>
    <w:rsid w:val="00A46FFF"/>
    <w:rsid w:val="00A5043B"/>
    <w:rsid w:val="00A52012"/>
    <w:rsid w:val="00A53AAF"/>
    <w:rsid w:val="00A54D55"/>
    <w:rsid w:val="00A5514A"/>
    <w:rsid w:val="00A55EFF"/>
    <w:rsid w:val="00A571E0"/>
    <w:rsid w:val="00A57EBF"/>
    <w:rsid w:val="00A623D0"/>
    <w:rsid w:val="00A63898"/>
    <w:rsid w:val="00A6640B"/>
    <w:rsid w:val="00A67400"/>
    <w:rsid w:val="00A67647"/>
    <w:rsid w:val="00A707FA"/>
    <w:rsid w:val="00A708D3"/>
    <w:rsid w:val="00A72E32"/>
    <w:rsid w:val="00A7312E"/>
    <w:rsid w:val="00A73577"/>
    <w:rsid w:val="00A74937"/>
    <w:rsid w:val="00A74BC3"/>
    <w:rsid w:val="00A751B9"/>
    <w:rsid w:val="00A75CB5"/>
    <w:rsid w:val="00A81FD5"/>
    <w:rsid w:val="00A83D48"/>
    <w:rsid w:val="00A85936"/>
    <w:rsid w:val="00A870F2"/>
    <w:rsid w:val="00A90B2B"/>
    <w:rsid w:val="00A9160F"/>
    <w:rsid w:val="00A936CA"/>
    <w:rsid w:val="00A9426D"/>
    <w:rsid w:val="00A95265"/>
    <w:rsid w:val="00AA0FA2"/>
    <w:rsid w:val="00AA3577"/>
    <w:rsid w:val="00AA4B02"/>
    <w:rsid w:val="00AA647F"/>
    <w:rsid w:val="00AA6C90"/>
    <w:rsid w:val="00AB1BAD"/>
    <w:rsid w:val="00AB3391"/>
    <w:rsid w:val="00AB40CD"/>
    <w:rsid w:val="00AB4227"/>
    <w:rsid w:val="00AC070E"/>
    <w:rsid w:val="00AC0D0C"/>
    <w:rsid w:val="00AC17B7"/>
    <w:rsid w:val="00AC2B52"/>
    <w:rsid w:val="00AD2541"/>
    <w:rsid w:val="00AD2AD4"/>
    <w:rsid w:val="00AD350F"/>
    <w:rsid w:val="00AD5FEE"/>
    <w:rsid w:val="00AD691D"/>
    <w:rsid w:val="00AE1BD1"/>
    <w:rsid w:val="00AE2409"/>
    <w:rsid w:val="00AE31A5"/>
    <w:rsid w:val="00AE6595"/>
    <w:rsid w:val="00AE6DF4"/>
    <w:rsid w:val="00AE73A3"/>
    <w:rsid w:val="00AF10E9"/>
    <w:rsid w:val="00AF5BE5"/>
    <w:rsid w:val="00B01474"/>
    <w:rsid w:val="00B017FF"/>
    <w:rsid w:val="00B033F8"/>
    <w:rsid w:val="00B044AC"/>
    <w:rsid w:val="00B06592"/>
    <w:rsid w:val="00B0685C"/>
    <w:rsid w:val="00B106F2"/>
    <w:rsid w:val="00B11974"/>
    <w:rsid w:val="00B119BD"/>
    <w:rsid w:val="00B12C95"/>
    <w:rsid w:val="00B14426"/>
    <w:rsid w:val="00B1588C"/>
    <w:rsid w:val="00B15D22"/>
    <w:rsid w:val="00B222A7"/>
    <w:rsid w:val="00B243F2"/>
    <w:rsid w:val="00B248F0"/>
    <w:rsid w:val="00B26837"/>
    <w:rsid w:val="00B277C8"/>
    <w:rsid w:val="00B278ED"/>
    <w:rsid w:val="00B336AA"/>
    <w:rsid w:val="00B34D78"/>
    <w:rsid w:val="00B35A29"/>
    <w:rsid w:val="00B35D1D"/>
    <w:rsid w:val="00B366D1"/>
    <w:rsid w:val="00B37F69"/>
    <w:rsid w:val="00B400C9"/>
    <w:rsid w:val="00B4151F"/>
    <w:rsid w:val="00B416B1"/>
    <w:rsid w:val="00B42B20"/>
    <w:rsid w:val="00B44092"/>
    <w:rsid w:val="00B44A1B"/>
    <w:rsid w:val="00B47F77"/>
    <w:rsid w:val="00B50BFD"/>
    <w:rsid w:val="00B55E6E"/>
    <w:rsid w:val="00B6085D"/>
    <w:rsid w:val="00B6134F"/>
    <w:rsid w:val="00B63AB6"/>
    <w:rsid w:val="00B661C7"/>
    <w:rsid w:val="00B71834"/>
    <w:rsid w:val="00B73D32"/>
    <w:rsid w:val="00B750FC"/>
    <w:rsid w:val="00B75E26"/>
    <w:rsid w:val="00B8204B"/>
    <w:rsid w:val="00B8439D"/>
    <w:rsid w:val="00B859DB"/>
    <w:rsid w:val="00B85FD7"/>
    <w:rsid w:val="00B8692E"/>
    <w:rsid w:val="00B902BD"/>
    <w:rsid w:val="00B90991"/>
    <w:rsid w:val="00B90D0B"/>
    <w:rsid w:val="00B9291E"/>
    <w:rsid w:val="00B92EEE"/>
    <w:rsid w:val="00B954EE"/>
    <w:rsid w:val="00B96324"/>
    <w:rsid w:val="00BA19F8"/>
    <w:rsid w:val="00BA1B4A"/>
    <w:rsid w:val="00BA2584"/>
    <w:rsid w:val="00BA314A"/>
    <w:rsid w:val="00BA5D5F"/>
    <w:rsid w:val="00BA642B"/>
    <w:rsid w:val="00BA66CE"/>
    <w:rsid w:val="00BA6F1D"/>
    <w:rsid w:val="00BA7D37"/>
    <w:rsid w:val="00BB6A85"/>
    <w:rsid w:val="00BB721A"/>
    <w:rsid w:val="00BB7F7A"/>
    <w:rsid w:val="00BC3620"/>
    <w:rsid w:val="00BC3D9B"/>
    <w:rsid w:val="00BC410A"/>
    <w:rsid w:val="00BC5F90"/>
    <w:rsid w:val="00BD208E"/>
    <w:rsid w:val="00BD3617"/>
    <w:rsid w:val="00BD45B7"/>
    <w:rsid w:val="00BD5613"/>
    <w:rsid w:val="00BD6E1C"/>
    <w:rsid w:val="00BD72F7"/>
    <w:rsid w:val="00BE2543"/>
    <w:rsid w:val="00BE3FEB"/>
    <w:rsid w:val="00BE465D"/>
    <w:rsid w:val="00BE51FD"/>
    <w:rsid w:val="00BE70CB"/>
    <w:rsid w:val="00BF01ED"/>
    <w:rsid w:val="00BF34FF"/>
    <w:rsid w:val="00BF5042"/>
    <w:rsid w:val="00BF57E8"/>
    <w:rsid w:val="00BF6EF2"/>
    <w:rsid w:val="00BF6FA6"/>
    <w:rsid w:val="00BFD392"/>
    <w:rsid w:val="00C0266C"/>
    <w:rsid w:val="00C028F5"/>
    <w:rsid w:val="00C047F0"/>
    <w:rsid w:val="00C0522E"/>
    <w:rsid w:val="00C056FC"/>
    <w:rsid w:val="00C07ED0"/>
    <w:rsid w:val="00C12E2D"/>
    <w:rsid w:val="00C13111"/>
    <w:rsid w:val="00C212E7"/>
    <w:rsid w:val="00C216E2"/>
    <w:rsid w:val="00C21C0B"/>
    <w:rsid w:val="00C2436E"/>
    <w:rsid w:val="00C2482C"/>
    <w:rsid w:val="00C32502"/>
    <w:rsid w:val="00C336E2"/>
    <w:rsid w:val="00C33D1E"/>
    <w:rsid w:val="00C34C27"/>
    <w:rsid w:val="00C35D8F"/>
    <w:rsid w:val="00C363D8"/>
    <w:rsid w:val="00C37DCA"/>
    <w:rsid w:val="00C447B6"/>
    <w:rsid w:val="00C5434A"/>
    <w:rsid w:val="00C57B93"/>
    <w:rsid w:val="00C606ED"/>
    <w:rsid w:val="00C60D4C"/>
    <w:rsid w:val="00C61A44"/>
    <w:rsid w:val="00C61EC5"/>
    <w:rsid w:val="00C62454"/>
    <w:rsid w:val="00C6354C"/>
    <w:rsid w:val="00C63933"/>
    <w:rsid w:val="00C64983"/>
    <w:rsid w:val="00C65419"/>
    <w:rsid w:val="00C70489"/>
    <w:rsid w:val="00C7223A"/>
    <w:rsid w:val="00C72F02"/>
    <w:rsid w:val="00C733A2"/>
    <w:rsid w:val="00C77DD2"/>
    <w:rsid w:val="00C80C88"/>
    <w:rsid w:val="00C81263"/>
    <w:rsid w:val="00C8166A"/>
    <w:rsid w:val="00C827B9"/>
    <w:rsid w:val="00C84B68"/>
    <w:rsid w:val="00C84E03"/>
    <w:rsid w:val="00C85407"/>
    <w:rsid w:val="00C85663"/>
    <w:rsid w:val="00C86C33"/>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FE"/>
    <w:rsid w:val="00CB3754"/>
    <w:rsid w:val="00CB481C"/>
    <w:rsid w:val="00CB55DC"/>
    <w:rsid w:val="00CC0EA1"/>
    <w:rsid w:val="00CC1DBC"/>
    <w:rsid w:val="00CC26D8"/>
    <w:rsid w:val="00CC301E"/>
    <w:rsid w:val="00CC5445"/>
    <w:rsid w:val="00CD09D4"/>
    <w:rsid w:val="00CD0BF6"/>
    <w:rsid w:val="00CD1D41"/>
    <w:rsid w:val="00CD250E"/>
    <w:rsid w:val="00CD35B1"/>
    <w:rsid w:val="00CD3D63"/>
    <w:rsid w:val="00CD3F83"/>
    <w:rsid w:val="00CD4565"/>
    <w:rsid w:val="00CE09EE"/>
    <w:rsid w:val="00CE0A11"/>
    <w:rsid w:val="00CE1479"/>
    <w:rsid w:val="00CE197B"/>
    <w:rsid w:val="00CE1AC2"/>
    <w:rsid w:val="00CE22F5"/>
    <w:rsid w:val="00CE2EEA"/>
    <w:rsid w:val="00CE32CF"/>
    <w:rsid w:val="00CE749D"/>
    <w:rsid w:val="00CE8CB5"/>
    <w:rsid w:val="00CF01F8"/>
    <w:rsid w:val="00CF044E"/>
    <w:rsid w:val="00CF0DE5"/>
    <w:rsid w:val="00CF0EC8"/>
    <w:rsid w:val="00CF20AA"/>
    <w:rsid w:val="00CF454B"/>
    <w:rsid w:val="00CF4BEA"/>
    <w:rsid w:val="00CF6586"/>
    <w:rsid w:val="00CF674E"/>
    <w:rsid w:val="00CF6984"/>
    <w:rsid w:val="00D00ED6"/>
    <w:rsid w:val="00D00FEF"/>
    <w:rsid w:val="00D0133D"/>
    <w:rsid w:val="00D04093"/>
    <w:rsid w:val="00D04B92"/>
    <w:rsid w:val="00D05A85"/>
    <w:rsid w:val="00D10643"/>
    <w:rsid w:val="00D12C94"/>
    <w:rsid w:val="00D16754"/>
    <w:rsid w:val="00D16B5C"/>
    <w:rsid w:val="00D174C2"/>
    <w:rsid w:val="00D17AA4"/>
    <w:rsid w:val="00D200B7"/>
    <w:rsid w:val="00D22B39"/>
    <w:rsid w:val="00D233AF"/>
    <w:rsid w:val="00D23D1B"/>
    <w:rsid w:val="00D245A5"/>
    <w:rsid w:val="00D253A1"/>
    <w:rsid w:val="00D260BB"/>
    <w:rsid w:val="00D26EDF"/>
    <w:rsid w:val="00D27602"/>
    <w:rsid w:val="00D2788D"/>
    <w:rsid w:val="00D27FE9"/>
    <w:rsid w:val="00D337FE"/>
    <w:rsid w:val="00D33B26"/>
    <w:rsid w:val="00D33BF7"/>
    <w:rsid w:val="00D33C1E"/>
    <w:rsid w:val="00D369C4"/>
    <w:rsid w:val="00D36ACC"/>
    <w:rsid w:val="00D37E11"/>
    <w:rsid w:val="00D412A6"/>
    <w:rsid w:val="00D41367"/>
    <w:rsid w:val="00D41488"/>
    <w:rsid w:val="00D42143"/>
    <w:rsid w:val="00D42413"/>
    <w:rsid w:val="00D44146"/>
    <w:rsid w:val="00D44474"/>
    <w:rsid w:val="00D44D7A"/>
    <w:rsid w:val="00D4564D"/>
    <w:rsid w:val="00D4CE35"/>
    <w:rsid w:val="00D523B6"/>
    <w:rsid w:val="00D52703"/>
    <w:rsid w:val="00D542D6"/>
    <w:rsid w:val="00D5688D"/>
    <w:rsid w:val="00D64090"/>
    <w:rsid w:val="00D67623"/>
    <w:rsid w:val="00D701CF"/>
    <w:rsid w:val="00D7068D"/>
    <w:rsid w:val="00D7200B"/>
    <w:rsid w:val="00D72EC1"/>
    <w:rsid w:val="00D7415B"/>
    <w:rsid w:val="00D75451"/>
    <w:rsid w:val="00D762CC"/>
    <w:rsid w:val="00D8040B"/>
    <w:rsid w:val="00D81341"/>
    <w:rsid w:val="00D81AE7"/>
    <w:rsid w:val="00D8302E"/>
    <w:rsid w:val="00D84059"/>
    <w:rsid w:val="00D8516A"/>
    <w:rsid w:val="00D86EDC"/>
    <w:rsid w:val="00D906D0"/>
    <w:rsid w:val="00D93507"/>
    <w:rsid w:val="00D936CE"/>
    <w:rsid w:val="00D94A1D"/>
    <w:rsid w:val="00D96A5B"/>
    <w:rsid w:val="00D96AA4"/>
    <w:rsid w:val="00DA2073"/>
    <w:rsid w:val="00DA3183"/>
    <w:rsid w:val="00DA392D"/>
    <w:rsid w:val="00DA3D32"/>
    <w:rsid w:val="00DA64A0"/>
    <w:rsid w:val="00DA78A8"/>
    <w:rsid w:val="00DA7A27"/>
    <w:rsid w:val="00DB2E3D"/>
    <w:rsid w:val="00DB42A1"/>
    <w:rsid w:val="00DB4E58"/>
    <w:rsid w:val="00DB522C"/>
    <w:rsid w:val="00DB743E"/>
    <w:rsid w:val="00DC1F67"/>
    <w:rsid w:val="00DC210A"/>
    <w:rsid w:val="00DC6DE5"/>
    <w:rsid w:val="00DC7234"/>
    <w:rsid w:val="00DC73CB"/>
    <w:rsid w:val="00DC78CC"/>
    <w:rsid w:val="00DD1045"/>
    <w:rsid w:val="00DD123D"/>
    <w:rsid w:val="00DD5100"/>
    <w:rsid w:val="00DE0799"/>
    <w:rsid w:val="00DE1F94"/>
    <w:rsid w:val="00DE41F8"/>
    <w:rsid w:val="00DE5DEC"/>
    <w:rsid w:val="00DE5FC2"/>
    <w:rsid w:val="00DE6FBE"/>
    <w:rsid w:val="00DF0CDD"/>
    <w:rsid w:val="00DF174B"/>
    <w:rsid w:val="00DF335A"/>
    <w:rsid w:val="00DF381C"/>
    <w:rsid w:val="00DF3E46"/>
    <w:rsid w:val="00DF49E9"/>
    <w:rsid w:val="00E0184B"/>
    <w:rsid w:val="00E02193"/>
    <w:rsid w:val="00E04486"/>
    <w:rsid w:val="00E048BF"/>
    <w:rsid w:val="00E0497E"/>
    <w:rsid w:val="00E05B63"/>
    <w:rsid w:val="00E05BED"/>
    <w:rsid w:val="00E07D37"/>
    <w:rsid w:val="00E10CEE"/>
    <w:rsid w:val="00E115D7"/>
    <w:rsid w:val="00E11ABF"/>
    <w:rsid w:val="00E11FDB"/>
    <w:rsid w:val="00E140A8"/>
    <w:rsid w:val="00E15DD7"/>
    <w:rsid w:val="00E16826"/>
    <w:rsid w:val="00E235B0"/>
    <w:rsid w:val="00E24A13"/>
    <w:rsid w:val="00E26979"/>
    <w:rsid w:val="00E26F32"/>
    <w:rsid w:val="00E271A1"/>
    <w:rsid w:val="00E32447"/>
    <w:rsid w:val="00E324AE"/>
    <w:rsid w:val="00E3274D"/>
    <w:rsid w:val="00E32E06"/>
    <w:rsid w:val="00E36DBA"/>
    <w:rsid w:val="00E37962"/>
    <w:rsid w:val="00E51240"/>
    <w:rsid w:val="00E52EA1"/>
    <w:rsid w:val="00E55C03"/>
    <w:rsid w:val="00E56970"/>
    <w:rsid w:val="00E57A85"/>
    <w:rsid w:val="00E605E9"/>
    <w:rsid w:val="00E6067C"/>
    <w:rsid w:val="00E60F63"/>
    <w:rsid w:val="00E62362"/>
    <w:rsid w:val="00E62A15"/>
    <w:rsid w:val="00E6425B"/>
    <w:rsid w:val="00E6465B"/>
    <w:rsid w:val="00E67A30"/>
    <w:rsid w:val="00E70133"/>
    <w:rsid w:val="00E70287"/>
    <w:rsid w:val="00E735B7"/>
    <w:rsid w:val="00E73647"/>
    <w:rsid w:val="00E756A5"/>
    <w:rsid w:val="00E7644D"/>
    <w:rsid w:val="00E76769"/>
    <w:rsid w:val="00E8016F"/>
    <w:rsid w:val="00E84176"/>
    <w:rsid w:val="00E8582B"/>
    <w:rsid w:val="00E86880"/>
    <w:rsid w:val="00E901CD"/>
    <w:rsid w:val="00E9393B"/>
    <w:rsid w:val="00E94709"/>
    <w:rsid w:val="00E951E5"/>
    <w:rsid w:val="00E96A96"/>
    <w:rsid w:val="00E96AE1"/>
    <w:rsid w:val="00E971F1"/>
    <w:rsid w:val="00E9767C"/>
    <w:rsid w:val="00E979CD"/>
    <w:rsid w:val="00E97F2C"/>
    <w:rsid w:val="00EA0EAD"/>
    <w:rsid w:val="00EA238C"/>
    <w:rsid w:val="00EA3CE9"/>
    <w:rsid w:val="00EA5550"/>
    <w:rsid w:val="00EA6FD0"/>
    <w:rsid w:val="00EB23AF"/>
    <w:rsid w:val="00EB4C7F"/>
    <w:rsid w:val="00EB5748"/>
    <w:rsid w:val="00EB65F4"/>
    <w:rsid w:val="00EC160B"/>
    <w:rsid w:val="00EC1697"/>
    <w:rsid w:val="00EC42C2"/>
    <w:rsid w:val="00EC547F"/>
    <w:rsid w:val="00EC5BBC"/>
    <w:rsid w:val="00EC7567"/>
    <w:rsid w:val="00ED0F41"/>
    <w:rsid w:val="00ED17EA"/>
    <w:rsid w:val="00ED19F5"/>
    <w:rsid w:val="00ED1BC8"/>
    <w:rsid w:val="00ED217F"/>
    <w:rsid w:val="00ED3A42"/>
    <w:rsid w:val="00ED4209"/>
    <w:rsid w:val="00ED7C7C"/>
    <w:rsid w:val="00EE169F"/>
    <w:rsid w:val="00EE1B23"/>
    <w:rsid w:val="00EE38F3"/>
    <w:rsid w:val="00EE3DB3"/>
    <w:rsid w:val="00EE4744"/>
    <w:rsid w:val="00EE4DBE"/>
    <w:rsid w:val="00EE6966"/>
    <w:rsid w:val="00EE7270"/>
    <w:rsid w:val="00EF08FE"/>
    <w:rsid w:val="00EF6495"/>
    <w:rsid w:val="00EF7C46"/>
    <w:rsid w:val="00EF7DFD"/>
    <w:rsid w:val="00F00C16"/>
    <w:rsid w:val="00F02CA4"/>
    <w:rsid w:val="00F03942"/>
    <w:rsid w:val="00F04065"/>
    <w:rsid w:val="00F05B0F"/>
    <w:rsid w:val="00F05DD5"/>
    <w:rsid w:val="00F066C7"/>
    <w:rsid w:val="00F12491"/>
    <w:rsid w:val="00F12B88"/>
    <w:rsid w:val="00F139FB"/>
    <w:rsid w:val="00F15747"/>
    <w:rsid w:val="00F15826"/>
    <w:rsid w:val="00F16FD8"/>
    <w:rsid w:val="00F17935"/>
    <w:rsid w:val="00F20108"/>
    <w:rsid w:val="00F20E9A"/>
    <w:rsid w:val="00F217DE"/>
    <w:rsid w:val="00F225A6"/>
    <w:rsid w:val="00F23639"/>
    <w:rsid w:val="00F23C5D"/>
    <w:rsid w:val="00F25AC7"/>
    <w:rsid w:val="00F2714C"/>
    <w:rsid w:val="00F2745E"/>
    <w:rsid w:val="00F27F40"/>
    <w:rsid w:val="00F303C0"/>
    <w:rsid w:val="00F316D9"/>
    <w:rsid w:val="00F31E36"/>
    <w:rsid w:val="00F320C2"/>
    <w:rsid w:val="00F402FA"/>
    <w:rsid w:val="00F42377"/>
    <w:rsid w:val="00F4382E"/>
    <w:rsid w:val="00F4445E"/>
    <w:rsid w:val="00F5134A"/>
    <w:rsid w:val="00F53307"/>
    <w:rsid w:val="00F54C61"/>
    <w:rsid w:val="00F566EB"/>
    <w:rsid w:val="00F5F070"/>
    <w:rsid w:val="00F60276"/>
    <w:rsid w:val="00F613E1"/>
    <w:rsid w:val="00F61EB4"/>
    <w:rsid w:val="00F61FCB"/>
    <w:rsid w:val="00F641A4"/>
    <w:rsid w:val="00F6473F"/>
    <w:rsid w:val="00F64F89"/>
    <w:rsid w:val="00F66534"/>
    <w:rsid w:val="00F7160F"/>
    <w:rsid w:val="00F72F82"/>
    <w:rsid w:val="00F735B3"/>
    <w:rsid w:val="00F748A1"/>
    <w:rsid w:val="00F7645E"/>
    <w:rsid w:val="00F8495B"/>
    <w:rsid w:val="00F85329"/>
    <w:rsid w:val="00F87EF9"/>
    <w:rsid w:val="00F913FC"/>
    <w:rsid w:val="00F9167E"/>
    <w:rsid w:val="00F94E60"/>
    <w:rsid w:val="00F95B5B"/>
    <w:rsid w:val="00F96118"/>
    <w:rsid w:val="00F97604"/>
    <w:rsid w:val="00F97B9B"/>
    <w:rsid w:val="00FA02E2"/>
    <w:rsid w:val="00FA0D8B"/>
    <w:rsid w:val="00FA0DB2"/>
    <w:rsid w:val="00FA382E"/>
    <w:rsid w:val="00FA39C7"/>
    <w:rsid w:val="00FA4626"/>
    <w:rsid w:val="00FA57F0"/>
    <w:rsid w:val="00FA6AB7"/>
    <w:rsid w:val="00FA71DC"/>
    <w:rsid w:val="00FB055D"/>
    <w:rsid w:val="00FB113F"/>
    <w:rsid w:val="00FB140E"/>
    <w:rsid w:val="00FB3BC3"/>
    <w:rsid w:val="00FB48E7"/>
    <w:rsid w:val="00FB4A4E"/>
    <w:rsid w:val="00FB4EA4"/>
    <w:rsid w:val="00FB6596"/>
    <w:rsid w:val="00FC0AB2"/>
    <w:rsid w:val="00FC3F45"/>
    <w:rsid w:val="00FC4B99"/>
    <w:rsid w:val="00FC783C"/>
    <w:rsid w:val="00FC7C26"/>
    <w:rsid w:val="00FCF0E4"/>
    <w:rsid w:val="00FD0FC0"/>
    <w:rsid w:val="00FD1B0B"/>
    <w:rsid w:val="00FD1BC6"/>
    <w:rsid w:val="00FD2A65"/>
    <w:rsid w:val="00FD41CC"/>
    <w:rsid w:val="00FD58A8"/>
    <w:rsid w:val="00FD5DA5"/>
    <w:rsid w:val="00FD6A69"/>
    <w:rsid w:val="00FD6B6E"/>
    <w:rsid w:val="00FE0490"/>
    <w:rsid w:val="00FE0DCF"/>
    <w:rsid w:val="00FE16BD"/>
    <w:rsid w:val="00FE2F39"/>
    <w:rsid w:val="00FE3A71"/>
    <w:rsid w:val="00FE4F33"/>
    <w:rsid w:val="00FE55FC"/>
    <w:rsid w:val="00FE56DD"/>
    <w:rsid w:val="00FE572C"/>
    <w:rsid w:val="00FE75FE"/>
    <w:rsid w:val="00FF1865"/>
    <w:rsid w:val="00FF1AD6"/>
    <w:rsid w:val="00FF2EDC"/>
    <w:rsid w:val="00FF3B24"/>
    <w:rsid w:val="00FF4230"/>
    <w:rsid w:val="00FF432B"/>
    <w:rsid w:val="00FF50B4"/>
    <w:rsid w:val="00FF51A5"/>
    <w:rsid w:val="00FF5D00"/>
    <w:rsid w:val="00FF7644"/>
    <w:rsid w:val="010A47FB"/>
    <w:rsid w:val="01194B97"/>
    <w:rsid w:val="01199361"/>
    <w:rsid w:val="0128A144"/>
    <w:rsid w:val="013D28DC"/>
    <w:rsid w:val="015188FA"/>
    <w:rsid w:val="0168896F"/>
    <w:rsid w:val="017B5FC1"/>
    <w:rsid w:val="018160FF"/>
    <w:rsid w:val="018196E2"/>
    <w:rsid w:val="018DEA0A"/>
    <w:rsid w:val="01B84F5B"/>
    <w:rsid w:val="01D21D4F"/>
    <w:rsid w:val="01D4BB11"/>
    <w:rsid w:val="01D6A142"/>
    <w:rsid w:val="01D8829C"/>
    <w:rsid w:val="01EA9B16"/>
    <w:rsid w:val="0224D268"/>
    <w:rsid w:val="0230C5E3"/>
    <w:rsid w:val="023384F9"/>
    <w:rsid w:val="0255DA30"/>
    <w:rsid w:val="02652987"/>
    <w:rsid w:val="029D564D"/>
    <w:rsid w:val="02A407BC"/>
    <w:rsid w:val="02B8783B"/>
    <w:rsid w:val="02CDF803"/>
    <w:rsid w:val="02D184B2"/>
    <w:rsid w:val="02D41CED"/>
    <w:rsid w:val="02E15AAE"/>
    <w:rsid w:val="032D08D5"/>
    <w:rsid w:val="03365044"/>
    <w:rsid w:val="03469676"/>
    <w:rsid w:val="036BFBC7"/>
    <w:rsid w:val="037271A3"/>
    <w:rsid w:val="037D8055"/>
    <w:rsid w:val="0381BE6C"/>
    <w:rsid w:val="03878D32"/>
    <w:rsid w:val="038FFDF9"/>
    <w:rsid w:val="039164CA"/>
    <w:rsid w:val="03A5D382"/>
    <w:rsid w:val="03A895AD"/>
    <w:rsid w:val="03B66B53"/>
    <w:rsid w:val="03BD392D"/>
    <w:rsid w:val="03BFF72F"/>
    <w:rsid w:val="03C67387"/>
    <w:rsid w:val="03CE388C"/>
    <w:rsid w:val="03DA6540"/>
    <w:rsid w:val="03E45F40"/>
    <w:rsid w:val="03F22CBF"/>
    <w:rsid w:val="03F9942D"/>
    <w:rsid w:val="03FE17B5"/>
    <w:rsid w:val="040FA1A9"/>
    <w:rsid w:val="042B0ABC"/>
    <w:rsid w:val="04347B6E"/>
    <w:rsid w:val="04433D2E"/>
    <w:rsid w:val="0443C313"/>
    <w:rsid w:val="045B10EA"/>
    <w:rsid w:val="0467EBC1"/>
    <w:rsid w:val="047974C0"/>
    <w:rsid w:val="04A5BF51"/>
    <w:rsid w:val="04A7E93E"/>
    <w:rsid w:val="04AFDCCB"/>
    <w:rsid w:val="04B0F1A3"/>
    <w:rsid w:val="04C3C772"/>
    <w:rsid w:val="0534B677"/>
    <w:rsid w:val="0568432D"/>
    <w:rsid w:val="056A08ED"/>
    <w:rsid w:val="058F818D"/>
    <w:rsid w:val="05A9F1EC"/>
    <w:rsid w:val="05C038B0"/>
    <w:rsid w:val="05CF2372"/>
    <w:rsid w:val="05CF749A"/>
    <w:rsid w:val="05DA6282"/>
    <w:rsid w:val="05EC8B6A"/>
    <w:rsid w:val="060473FE"/>
    <w:rsid w:val="0617B037"/>
    <w:rsid w:val="062E75F9"/>
    <w:rsid w:val="063018CC"/>
    <w:rsid w:val="0654A9E1"/>
    <w:rsid w:val="068AAFD0"/>
    <w:rsid w:val="06AA1265"/>
    <w:rsid w:val="06B7E814"/>
    <w:rsid w:val="06BDCD01"/>
    <w:rsid w:val="06DA3FBF"/>
    <w:rsid w:val="06F8438B"/>
    <w:rsid w:val="07063DF5"/>
    <w:rsid w:val="07573C86"/>
    <w:rsid w:val="077C672E"/>
    <w:rsid w:val="078EAC09"/>
    <w:rsid w:val="07964CFF"/>
    <w:rsid w:val="07AD2241"/>
    <w:rsid w:val="07BC2B37"/>
    <w:rsid w:val="07FE57AA"/>
    <w:rsid w:val="08004C69"/>
    <w:rsid w:val="081194D2"/>
    <w:rsid w:val="082EFD4B"/>
    <w:rsid w:val="08578BAD"/>
    <w:rsid w:val="0865DD2C"/>
    <w:rsid w:val="0870FFDD"/>
    <w:rsid w:val="08940187"/>
    <w:rsid w:val="08A1E609"/>
    <w:rsid w:val="08C53864"/>
    <w:rsid w:val="08C5BECF"/>
    <w:rsid w:val="08C7C4C0"/>
    <w:rsid w:val="08F00045"/>
    <w:rsid w:val="08F540F9"/>
    <w:rsid w:val="08FD16D3"/>
    <w:rsid w:val="092D05A8"/>
    <w:rsid w:val="094ABD9B"/>
    <w:rsid w:val="09608D5E"/>
    <w:rsid w:val="096BD79D"/>
    <w:rsid w:val="09A232C8"/>
    <w:rsid w:val="09AB51BF"/>
    <w:rsid w:val="09AD075F"/>
    <w:rsid w:val="09AD7A1D"/>
    <w:rsid w:val="09AD7BEA"/>
    <w:rsid w:val="09B001B9"/>
    <w:rsid w:val="09BB49A8"/>
    <w:rsid w:val="09BCC5C7"/>
    <w:rsid w:val="09C2A47E"/>
    <w:rsid w:val="09C8B294"/>
    <w:rsid w:val="09D67D6F"/>
    <w:rsid w:val="09F2FDB0"/>
    <w:rsid w:val="0A299A13"/>
    <w:rsid w:val="0A32DA68"/>
    <w:rsid w:val="0A3A7866"/>
    <w:rsid w:val="0A759D4C"/>
    <w:rsid w:val="0A7AF16C"/>
    <w:rsid w:val="0A8BD0A6"/>
    <w:rsid w:val="0A91F2FD"/>
    <w:rsid w:val="0AD99A5E"/>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A77EB"/>
    <w:rsid w:val="0CCE21C7"/>
    <w:rsid w:val="0CD33754"/>
    <w:rsid w:val="0CF6BDA7"/>
    <w:rsid w:val="0D12C711"/>
    <w:rsid w:val="0D1A87B2"/>
    <w:rsid w:val="0D23D8A9"/>
    <w:rsid w:val="0D476B65"/>
    <w:rsid w:val="0D6BF0C9"/>
    <w:rsid w:val="0D7D0333"/>
    <w:rsid w:val="0D86DCD5"/>
    <w:rsid w:val="0DA47D86"/>
    <w:rsid w:val="0DA502D4"/>
    <w:rsid w:val="0DAC63EC"/>
    <w:rsid w:val="0DB7D26C"/>
    <w:rsid w:val="0DC37168"/>
    <w:rsid w:val="0DC41862"/>
    <w:rsid w:val="0DDB7AC7"/>
    <w:rsid w:val="0DDE3EDD"/>
    <w:rsid w:val="0DE53672"/>
    <w:rsid w:val="0DF12326"/>
    <w:rsid w:val="0DF30CA6"/>
    <w:rsid w:val="0DFA5BBD"/>
    <w:rsid w:val="0E35DD42"/>
    <w:rsid w:val="0E3AA408"/>
    <w:rsid w:val="0E42BACC"/>
    <w:rsid w:val="0E4AA80C"/>
    <w:rsid w:val="0E6556DE"/>
    <w:rsid w:val="0E69B779"/>
    <w:rsid w:val="0E79609D"/>
    <w:rsid w:val="0E807640"/>
    <w:rsid w:val="0E8D3B14"/>
    <w:rsid w:val="0E9F643A"/>
    <w:rsid w:val="0ECD3194"/>
    <w:rsid w:val="0EDAE166"/>
    <w:rsid w:val="0EF89D3E"/>
    <w:rsid w:val="0F0A7644"/>
    <w:rsid w:val="0F1A9109"/>
    <w:rsid w:val="0F43AAE2"/>
    <w:rsid w:val="0F56E5C4"/>
    <w:rsid w:val="0F896CF1"/>
    <w:rsid w:val="0F9602B2"/>
    <w:rsid w:val="0F972168"/>
    <w:rsid w:val="0FA7A662"/>
    <w:rsid w:val="0FBCC48D"/>
    <w:rsid w:val="0FCEED41"/>
    <w:rsid w:val="0FDE8B2D"/>
    <w:rsid w:val="0FE1DEB3"/>
    <w:rsid w:val="0FEB69FB"/>
    <w:rsid w:val="100512CD"/>
    <w:rsid w:val="1006AB70"/>
    <w:rsid w:val="100ADEE5"/>
    <w:rsid w:val="1026AF2E"/>
    <w:rsid w:val="1029C0DA"/>
    <w:rsid w:val="1039151B"/>
    <w:rsid w:val="104CC9D5"/>
    <w:rsid w:val="1058E231"/>
    <w:rsid w:val="10B74B71"/>
    <w:rsid w:val="10C332C5"/>
    <w:rsid w:val="10EF47B0"/>
    <w:rsid w:val="1112FB82"/>
    <w:rsid w:val="1168D3D1"/>
    <w:rsid w:val="116CE742"/>
    <w:rsid w:val="116E3FEB"/>
    <w:rsid w:val="11D75A4F"/>
    <w:rsid w:val="11D7771E"/>
    <w:rsid w:val="11D77AD5"/>
    <w:rsid w:val="11E3E09E"/>
    <w:rsid w:val="120343A4"/>
    <w:rsid w:val="120C603E"/>
    <w:rsid w:val="121A54C2"/>
    <w:rsid w:val="12423349"/>
    <w:rsid w:val="125F0326"/>
    <w:rsid w:val="12A864B0"/>
    <w:rsid w:val="12CF8BF2"/>
    <w:rsid w:val="12D0698E"/>
    <w:rsid w:val="12DB6FF1"/>
    <w:rsid w:val="12DEE00F"/>
    <w:rsid w:val="12E1F4B0"/>
    <w:rsid w:val="12F611AF"/>
    <w:rsid w:val="130DA692"/>
    <w:rsid w:val="131FD6E5"/>
    <w:rsid w:val="13459814"/>
    <w:rsid w:val="1346FB35"/>
    <w:rsid w:val="134D6661"/>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A8C0F2"/>
    <w:rsid w:val="15DCD2EF"/>
    <w:rsid w:val="15F4D334"/>
    <w:rsid w:val="15FDACC8"/>
    <w:rsid w:val="162BAC0F"/>
    <w:rsid w:val="163B7F90"/>
    <w:rsid w:val="1640B192"/>
    <w:rsid w:val="1640C900"/>
    <w:rsid w:val="164C0906"/>
    <w:rsid w:val="1654A7ED"/>
    <w:rsid w:val="1672FCB5"/>
    <w:rsid w:val="1690C32C"/>
    <w:rsid w:val="16DFCFCB"/>
    <w:rsid w:val="16ED6402"/>
    <w:rsid w:val="16F0D0DE"/>
    <w:rsid w:val="1732976B"/>
    <w:rsid w:val="17359E1D"/>
    <w:rsid w:val="1777A718"/>
    <w:rsid w:val="177CE634"/>
    <w:rsid w:val="17845A28"/>
    <w:rsid w:val="179785F4"/>
    <w:rsid w:val="17AB0AAA"/>
    <w:rsid w:val="17BFC970"/>
    <w:rsid w:val="17C4BEEC"/>
    <w:rsid w:val="17EBD31D"/>
    <w:rsid w:val="17F5BE02"/>
    <w:rsid w:val="1803F4D2"/>
    <w:rsid w:val="1806735E"/>
    <w:rsid w:val="180FF47A"/>
    <w:rsid w:val="1814FC63"/>
    <w:rsid w:val="181E69F1"/>
    <w:rsid w:val="1826DADD"/>
    <w:rsid w:val="1835C2BA"/>
    <w:rsid w:val="1846B644"/>
    <w:rsid w:val="184A09A3"/>
    <w:rsid w:val="18E10190"/>
    <w:rsid w:val="18F27C5B"/>
    <w:rsid w:val="1914B585"/>
    <w:rsid w:val="1919C10D"/>
    <w:rsid w:val="194609E3"/>
    <w:rsid w:val="1946DB0B"/>
    <w:rsid w:val="1956923D"/>
    <w:rsid w:val="1957ECB7"/>
    <w:rsid w:val="198C48AF"/>
    <w:rsid w:val="198DD72E"/>
    <w:rsid w:val="199C9A33"/>
    <w:rsid w:val="19B6E851"/>
    <w:rsid w:val="19B826D8"/>
    <w:rsid w:val="19C3F7EB"/>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88F38"/>
    <w:rsid w:val="1AEA486C"/>
    <w:rsid w:val="1B0DB82D"/>
    <w:rsid w:val="1B6A399B"/>
    <w:rsid w:val="1B6E9578"/>
    <w:rsid w:val="1B702A35"/>
    <w:rsid w:val="1BAE354F"/>
    <w:rsid w:val="1BC5DCC7"/>
    <w:rsid w:val="1BC90FDD"/>
    <w:rsid w:val="1BD0EC89"/>
    <w:rsid w:val="1BEE620B"/>
    <w:rsid w:val="1C33B6AF"/>
    <w:rsid w:val="1C5082AA"/>
    <w:rsid w:val="1C6513D8"/>
    <w:rsid w:val="1C67C187"/>
    <w:rsid w:val="1C69DF91"/>
    <w:rsid w:val="1C7126CD"/>
    <w:rsid w:val="1C762793"/>
    <w:rsid w:val="1C7E7BCD"/>
    <w:rsid w:val="1CD6DB20"/>
    <w:rsid w:val="1CE37512"/>
    <w:rsid w:val="1D1CE702"/>
    <w:rsid w:val="1D376539"/>
    <w:rsid w:val="1D3AFC76"/>
    <w:rsid w:val="1D3FF21E"/>
    <w:rsid w:val="1D59B801"/>
    <w:rsid w:val="1D7116D0"/>
    <w:rsid w:val="1D747C55"/>
    <w:rsid w:val="1DB5507A"/>
    <w:rsid w:val="1DB90540"/>
    <w:rsid w:val="1E01C6E9"/>
    <w:rsid w:val="1E043030"/>
    <w:rsid w:val="1E0CE628"/>
    <w:rsid w:val="1E18239A"/>
    <w:rsid w:val="1E550235"/>
    <w:rsid w:val="1E69A7C7"/>
    <w:rsid w:val="1E82CB15"/>
    <w:rsid w:val="1E8A2650"/>
    <w:rsid w:val="1ED3359A"/>
    <w:rsid w:val="1EDC7CB8"/>
    <w:rsid w:val="1EF3B2CA"/>
    <w:rsid w:val="1F0CC4C0"/>
    <w:rsid w:val="1F437EA8"/>
    <w:rsid w:val="1F550A24"/>
    <w:rsid w:val="1F72C8E2"/>
    <w:rsid w:val="1F7FA00C"/>
    <w:rsid w:val="1F8F573E"/>
    <w:rsid w:val="1FAAB87D"/>
    <w:rsid w:val="1FC08841"/>
    <w:rsid w:val="1FDB0972"/>
    <w:rsid w:val="20092B15"/>
    <w:rsid w:val="20190DF8"/>
    <w:rsid w:val="201C6A46"/>
    <w:rsid w:val="20302BAA"/>
    <w:rsid w:val="20374D23"/>
    <w:rsid w:val="20495324"/>
    <w:rsid w:val="20561065"/>
    <w:rsid w:val="2086CECD"/>
    <w:rsid w:val="2099BDA9"/>
    <w:rsid w:val="20B5337C"/>
    <w:rsid w:val="20D4E01C"/>
    <w:rsid w:val="20E14415"/>
    <w:rsid w:val="20E1E863"/>
    <w:rsid w:val="20E4E19B"/>
    <w:rsid w:val="20EED031"/>
    <w:rsid w:val="20F09EE0"/>
    <w:rsid w:val="20FAB4E6"/>
    <w:rsid w:val="21184380"/>
    <w:rsid w:val="2124C390"/>
    <w:rsid w:val="215E31C1"/>
    <w:rsid w:val="21690341"/>
    <w:rsid w:val="21798133"/>
    <w:rsid w:val="21869B4B"/>
    <w:rsid w:val="21A18276"/>
    <w:rsid w:val="21A40BD8"/>
    <w:rsid w:val="21B490F7"/>
    <w:rsid w:val="21D1D964"/>
    <w:rsid w:val="21D482C6"/>
    <w:rsid w:val="21D5511B"/>
    <w:rsid w:val="21F921A4"/>
    <w:rsid w:val="21FB0613"/>
    <w:rsid w:val="22045879"/>
    <w:rsid w:val="222F2EC7"/>
    <w:rsid w:val="22475274"/>
    <w:rsid w:val="224F256D"/>
    <w:rsid w:val="225E6EC9"/>
    <w:rsid w:val="226203F8"/>
    <w:rsid w:val="226F385E"/>
    <w:rsid w:val="22B443BF"/>
    <w:rsid w:val="22F2A3A3"/>
    <w:rsid w:val="22F6A9B5"/>
    <w:rsid w:val="230394BB"/>
    <w:rsid w:val="230D0972"/>
    <w:rsid w:val="231A0298"/>
    <w:rsid w:val="23349F1B"/>
    <w:rsid w:val="2355B6C1"/>
    <w:rsid w:val="236A3C67"/>
    <w:rsid w:val="237DDC9D"/>
    <w:rsid w:val="23834CF7"/>
    <w:rsid w:val="238BF810"/>
    <w:rsid w:val="23AB891C"/>
    <w:rsid w:val="23B1F785"/>
    <w:rsid w:val="23B84288"/>
    <w:rsid w:val="23CC60D9"/>
    <w:rsid w:val="23E16221"/>
    <w:rsid w:val="240A4A5E"/>
    <w:rsid w:val="241286AF"/>
    <w:rsid w:val="24470685"/>
    <w:rsid w:val="2463F8BA"/>
    <w:rsid w:val="247CF9C2"/>
    <w:rsid w:val="247EF55D"/>
    <w:rsid w:val="2486B755"/>
    <w:rsid w:val="24A6F455"/>
    <w:rsid w:val="24AF3FDE"/>
    <w:rsid w:val="24BBE57D"/>
    <w:rsid w:val="24BC7F3A"/>
    <w:rsid w:val="24CD79C5"/>
    <w:rsid w:val="24DFC765"/>
    <w:rsid w:val="24E16A29"/>
    <w:rsid w:val="2501FF26"/>
    <w:rsid w:val="250643ED"/>
    <w:rsid w:val="250F60F6"/>
    <w:rsid w:val="25117C05"/>
    <w:rsid w:val="25284779"/>
    <w:rsid w:val="254CD785"/>
    <w:rsid w:val="25C07761"/>
    <w:rsid w:val="25C542CF"/>
    <w:rsid w:val="25D8D6F9"/>
    <w:rsid w:val="2601B072"/>
    <w:rsid w:val="2607C1D1"/>
    <w:rsid w:val="260F757B"/>
    <w:rsid w:val="263623B6"/>
    <w:rsid w:val="263E5E77"/>
    <w:rsid w:val="2646E9B1"/>
    <w:rsid w:val="264BF330"/>
    <w:rsid w:val="266A1065"/>
    <w:rsid w:val="267137E3"/>
    <w:rsid w:val="26734A8E"/>
    <w:rsid w:val="26863B39"/>
    <w:rsid w:val="268DCC20"/>
    <w:rsid w:val="26A405FA"/>
    <w:rsid w:val="26AC576C"/>
    <w:rsid w:val="26AC7CEC"/>
    <w:rsid w:val="26B28CC0"/>
    <w:rsid w:val="26CA88F9"/>
    <w:rsid w:val="26DC4202"/>
    <w:rsid w:val="26F0EB42"/>
    <w:rsid w:val="27200B57"/>
    <w:rsid w:val="27359091"/>
    <w:rsid w:val="273A31F5"/>
    <w:rsid w:val="2745664D"/>
    <w:rsid w:val="27483A55"/>
    <w:rsid w:val="274DF4B7"/>
    <w:rsid w:val="27768FB1"/>
    <w:rsid w:val="27B1A36E"/>
    <w:rsid w:val="27B1F1A0"/>
    <w:rsid w:val="27DC11A6"/>
    <w:rsid w:val="27E5FD58"/>
    <w:rsid w:val="27EB8F85"/>
    <w:rsid w:val="2803BBD7"/>
    <w:rsid w:val="2843F5FF"/>
    <w:rsid w:val="28486107"/>
    <w:rsid w:val="284D38B3"/>
    <w:rsid w:val="2857F4D9"/>
    <w:rsid w:val="285CECDE"/>
    <w:rsid w:val="286A69C6"/>
    <w:rsid w:val="2888E3BE"/>
    <w:rsid w:val="28DE27C7"/>
    <w:rsid w:val="28EB6760"/>
    <w:rsid w:val="292272BF"/>
    <w:rsid w:val="294A10E4"/>
    <w:rsid w:val="29513031"/>
    <w:rsid w:val="295DE0BA"/>
    <w:rsid w:val="296A1511"/>
    <w:rsid w:val="297AF02F"/>
    <w:rsid w:val="2989E4F5"/>
    <w:rsid w:val="2999AEE6"/>
    <w:rsid w:val="29A4A220"/>
    <w:rsid w:val="29CAE479"/>
    <w:rsid w:val="29D063F4"/>
    <w:rsid w:val="2A475545"/>
    <w:rsid w:val="2A49E11F"/>
    <w:rsid w:val="2A5D8F20"/>
    <w:rsid w:val="2A85CF18"/>
    <w:rsid w:val="2A8761C7"/>
    <w:rsid w:val="2A8B07BE"/>
    <w:rsid w:val="2AB2ADBA"/>
    <w:rsid w:val="2AC80250"/>
    <w:rsid w:val="2ACAF919"/>
    <w:rsid w:val="2AD0A3D7"/>
    <w:rsid w:val="2AD38232"/>
    <w:rsid w:val="2AD41B46"/>
    <w:rsid w:val="2AF082D7"/>
    <w:rsid w:val="2B07F06E"/>
    <w:rsid w:val="2B09A6A7"/>
    <w:rsid w:val="2B2B26BA"/>
    <w:rsid w:val="2B3EB9E6"/>
    <w:rsid w:val="2B47C595"/>
    <w:rsid w:val="2B55B97E"/>
    <w:rsid w:val="2B7F6DB9"/>
    <w:rsid w:val="2B802B30"/>
    <w:rsid w:val="2BC39A38"/>
    <w:rsid w:val="2BD13B00"/>
    <w:rsid w:val="2BDA166E"/>
    <w:rsid w:val="2C0FACCD"/>
    <w:rsid w:val="2C119077"/>
    <w:rsid w:val="2C18D770"/>
    <w:rsid w:val="2C69320B"/>
    <w:rsid w:val="2C7E8DD7"/>
    <w:rsid w:val="2C9190A6"/>
    <w:rsid w:val="2CB0E968"/>
    <w:rsid w:val="2CCEE3C7"/>
    <w:rsid w:val="2CDC36F0"/>
    <w:rsid w:val="2CDC74B4"/>
    <w:rsid w:val="2CDCC47D"/>
    <w:rsid w:val="2CF25AE9"/>
    <w:rsid w:val="2CFB231B"/>
    <w:rsid w:val="2D14D42A"/>
    <w:rsid w:val="2D1D042E"/>
    <w:rsid w:val="2D229DA4"/>
    <w:rsid w:val="2D2988D0"/>
    <w:rsid w:val="2D392869"/>
    <w:rsid w:val="2D451F1A"/>
    <w:rsid w:val="2D5B6E60"/>
    <w:rsid w:val="2D5DA583"/>
    <w:rsid w:val="2D93A354"/>
    <w:rsid w:val="2DCFDBA7"/>
    <w:rsid w:val="2DDBDFDC"/>
    <w:rsid w:val="2DDFA0F2"/>
    <w:rsid w:val="2E1F83F1"/>
    <w:rsid w:val="2E322ACD"/>
    <w:rsid w:val="2E6A523B"/>
    <w:rsid w:val="2E6C4FB6"/>
    <w:rsid w:val="2E8950FB"/>
    <w:rsid w:val="2EB0C788"/>
    <w:rsid w:val="2EC47010"/>
    <w:rsid w:val="2EC5499B"/>
    <w:rsid w:val="2EEC6A5A"/>
    <w:rsid w:val="2EF63874"/>
    <w:rsid w:val="2F308148"/>
    <w:rsid w:val="2F336E31"/>
    <w:rsid w:val="2F6DCD4B"/>
    <w:rsid w:val="2F7A0158"/>
    <w:rsid w:val="2F7C732E"/>
    <w:rsid w:val="2F8AAE3E"/>
    <w:rsid w:val="2FA3DF30"/>
    <w:rsid w:val="2FA73DBE"/>
    <w:rsid w:val="2FC303CD"/>
    <w:rsid w:val="2FD6ADB8"/>
    <w:rsid w:val="2FFCCA5C"/>
    <w:rsid w:val="2FFF8B4B"/>
    <w:rsid w:val="30154982"/>
    <w:rsid w:val="30292260"/>
    <w:rsid w:val="302E85E3"/>
    <w:rsid w:val="3032047E"/>
    <w:rsid w:val="3051876C"/>
    <w:rsid w:val="3058A9D4"/>
    <w:rsid w:val="3059DEB1"/>
    <w:rsid w:val="306DD299"/>
    <w:rsid w:val="30AF049B"/>
    <w:rsid w:val="30B430CF"/>
    <w:rsid w:val="30C939CB"/>
    <w:rsid w:val="30D3A6D6"/>
    <w:rsid w:val="30FC4E50"/>
    <w:rsid w:val="310896C1"/>
    <w:rsid w:val="31140D03"/>
    <w:rsid w:val="3116ABC1"/>
    <w:rsid w:val="3117DB49"/>
    <w:rsid w:val="314531AF"/>
    <w:rsid w:val="3166CD5A"/>
    <w:rsid w:val="31A5C5E0"/>
    <w:rsid w:val="31BA641D"/>
    <w:rsid w:val="31BBEFEB"/>
    <w:rsid w:val="31C2BE3C"/>
    <w:rsid w:val="31C8EB6C"/>
    <w:rsid w:val="31DC6A16"/>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2DADC"/>
    <w:rsid w:val="340EB7A1"/>
    <w:rsid w:val="3423E955"/>
    <w:rsid w:val="3437C8F8"/>
    <w:rsid w:val="3439E370"/>
    <w:rsid w:val="343BB186"/>
    <w:rsid w:val="3454255E"/>
    <w:rsid w:val="3456587C"/>
    <w:rsid w:val="345F670E"/>
    <w:rsid w:val="3467B154"/>
    <w:rsid w:val="34845704"/>
    <w:rsid w:val="349BF302"/>
    <w:rsid w:val="34A82AE7"/>
    <w:rsid w:val="34ADACA6"/>
    <w:rsid w:val="34B223B6"/>
    <w:rsid w:val="34BD8FF4"/>
    <w:rsid w:val="34C0D8F4"/>
    <w:rsid w:val="34D77AB6"/>
    <w:rsid w:val="3517C5D6"/>
    <w:rsid w:val="351ED817"/>
    <w:rsid w:val="3523152E"/>
    <w:rsid w:val="352619B3"/>
    <w:rsid w:val="3532500F"/>
    <w:rsid w:val="355D0D58"/>
    <w:rsid w:val="35A751C4"/>
    <w:rsid w:val="35B2875E"/>
    <w:rsid w:val="35CC675A"/>
    <w:rsid w:val="35F35788"/>
    <w:rsid w:val="35F8924F"/>
    <w:rsid w:val="3626F312"/>
    <w:rsid w:val="3643FB48"/>
    <w:rsid w:val="36476AA2"/>
    <w:rsid w:val="36574733"/>
    <w:rsid w:val="366B78E6"/>
    <w:rsid w:val="367B1C6A"/>
    <w:rsid w:val="36C9C12F"/>
    <w:rsid w:val="36D26007"/>
    <w:rsid w:val="36D505ED"/>
    <w:rsid w:val="36FDE521"/>
    <w:rsid w:val="371627EB"/>
    <w:rsid w:val="3737EB6A"/>
    <w:rsid w:val="3756281A"/>
    <w:rsid w:val="37BB8C77"/>
    <w:rsid w:val="37CB41DB"/>
    <w:rsid w:val="37CFAB87"/>
    <w:rsid w:val="37EEBDAE"/>
    <w:rsid w:val="37F4C286"/>
    <w:rsid w:val="37F5FEBD"/>
    <w:rsid w:val="38035E39"/>
    <w:rsid w:val="3814552C"/>
    <w:rsid w:val="383503A1"/>
    <w:rsid w:val="3852E1B7"/>
    <w:rsid w:val="386A3662"/>
    <w:rsid w:val="3882E000"/>
    <w:rsid w:val="388368C3"/>
    <w:rsid w:val="3898480F"/>
    <w:rsid w:val="38A28551"/>
    <w:rsid w:val="38A3ABE5"/>
    <w:rsid w:val="38B1943B"/>
    <w:rsid w:val="38BAE327"/>
    <w:rsid w:val="39243234"/>
    <w:rsid w:val="3931414A"/>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A117FE"/>
    <w:rsid w:val="3AC13237"/>
    <w:rsid w:val="3AC43EAD"/>
    <w:rsid w:val="3AF1A259"/>
    <w:rsid w:val="3B28A9D5"/>
    <w:rsid w:val="3B61A9F9"/>
    <w:rsid w:val="3BDABA6D"/>
    <w:rsid w:val="3BE5A403"/>
    <w:rsid w:val="3BEBDFE3"/>
    <w:rsid w:val="3C03658E"/>
    <w:rsid w:val="3C07AA3D"/>
    <w:rsid w:val="3C163923"/>
    <w:rsid w:val="3C232394"/>
    <w:rsid w:val="3C239339"/>
    <w:rsid w:val="3C397112"/>
    <w:rsid w:val="3C6F0E8B"/>
    <w:rsid w:val="3C770800"/>
    <w:rsid w:val="3C7B4331"/>
    <w:rsid w:val="3C8ED9F3"/>
    <w:rsid w:val="3C931A0E"/>
    <w:rsid w:val="3C9C5741"/>
    <w:rsid w:val="3CA559E7"/>
    <w:rsid w:val="3CDFEBD2"/>
    <w:rsid w:val="3CE64FDE"/>
    <w:rsid w:val="3CEAE636"/>
    <w:rsid w:val="3D03DC88"/>
    <w:rsid w:val="3D14B51C"/>
    <w:rsid w:val="3D2B0097"/>
    <w:rsid w:val="3D560330"/>
    <w:rsid w:val="3D7BDE89"/>
    <w:rsid w:val="3D7E5E49"/>
    <w:rsid w:val="3DA5096A"/>
    <w:rsid w:val="3DEBF2F0"/>
    <w:rsid w:val="3DF122CA"/>
    <w:rsid w:val="3E26DF5B"/>
    <w:rsid w:val="3E4A078B"/>
    <w:rsid w:val="3EBDB8A9"/>
    <w:rsid w:val="3EC4498F"/>
    <w:rsid w:val="3ED2EC2E"/>
    <w:rsid w:val="3EF23EF0"/>
    <w:rsid w:val="3F088F5D"/>
    <w:rsid w:val="3F3C9751"/>
    <w:rsid w:val="3F950EF1"/>
    <w:rsid w:val="3FDCD9EB"/>
    <w:rsid w:val="3FF2388C"/>
    <w:rsid w:val="4011D8DF"/>
    <w:rsid w:val="402C5888"/>
    <w:rsid w:val="402CC495"/>
    <w:rsid w:val="4040CB70"/>
    <w:rsid w:val="40873D00"/>
    <w:rsid w:val="40894999"/>
    <w:rsid w:val="40E84FF7"/>
    <w:rsid w:val="410EF862"/>
    <w:rsid w:val="414E6684"/>
    <w:rsid w:val="41B450D8"/>
    <w:rsid w:val="41B8EB58"/>
    <w:rsid w:val="41BCEE2A"/>
    <w:rsid w:val="41C22D65"/>
    <w:rsid w:val="41EA76F9"/>
    <w:rsid w:val="41F84939"/>
    <w:rsid w:val="420CC0A6"/>
    <w:rsid w:val="422AF672"/>
    <w:rsid w:val="424F628B"/>
    <w:rsid w:val="4260BCA0"/>
    <w:rsid w:val="42621E5E"/>
    <w:rsid w:val="426ECAD2"/>
    <w:rsid w:val="427744FA"/>
    <w:rsid w:val="427F59CD"/>
    <w:rsid w:val="42B63B97"/>
    <w:rsid w:val="42B95722"/>
    <w:rsid w:val="42C7C6BE"/>
    <w:rsid w:val="42C9D97A"/>
    <w:rsid w:val="42CD154A"/>
    <w:rsid w:val="42E1C448"/>
    <w:rsid w:val="42E5B3F8"/>
    <w:rsid w:val="430BF04B"/>
    <w:rsid w:val="431636FD"/>
    <w:rsid w:val="4317AA99"/>
    <w:rsid w:val="4345B5E4"/>
    <w:rsid w:val="43493B07"/>
    <w:rsid w:val="434CE642"/>
    <w:rsid w:val="4357818A"/>
    <w:rsid w:val="435E17DC"/>
    <w:rsid w:val="4361BDAD"/>
    <w:rsid w:val="436F97A0"/>
    <w:rsid w:val="43A64E5D"/>
    <w:rsid w:val="43AFAFD4"/>
    <w:rsid w:val="43C25C86"/>
    <w:rsid w:val="43CC487E"/>
    <w:rsid w:val="43E9CDF9"/>
    <w:rsid w:val="440B19AC"/>
    <w:rsid w:val="44207E91"/>
    <w:rsid w:val="4424C02A"/>
    <w:rsid w:val="4428257B"/>
    <w:rsid w:val="442BA650"/>
    <w:rsid w:val="4458AE91"/>
    <w:rsid w:val="445F0E21"/>
    <w:rsid w:val="44871D4B"/>
    <w:rsid w:val="44AEE0ED"/>
    <w:rsid w:val="44C91505"/>
    <w:rsid w:val="450517E3"/>
    <w:rsid w:val="4527EFED"/>
    <w:rsid w:val="45346436"/>
    <w:rsid w:val="4553E35D"/>
    <w:rsid w:val="456116D5"/>
    <w:rsid w:val="456972E4"/>
    <w:rsid w:val="45737842"/>
    <w:rsid w:val="457DF4F2"/>
    <w:rsid w:val="45886435"/>
    <w:rsid w:val="458B3A45"/>
    <w:rsid w:val="45A4573F"/>
    <w:rsid w:val="45B03835"/>
    <w:rsid w:val="45BDC76D"/>
    <w:rsid w:val="45EB67FA"/>
    <w:rsid w:val="46293CDC"/>
    <w:rsid w:val="463DA1D7"/>
    <w:rsid w:val="4651A534"/>
    <w:rsid w:val="467DECB5"/>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12986F"/>
    <w:rsid w:val="4823DE7C"/>
    <w:rsid w:val="482D2CC8"/>
    <w:rsid w:val="4831AED1"/>
    <w:rsid w:val="4840068D"/>
    <w:rsid w:val="4865F0A7"/>
    <w:rsid w:val="487D1633"/>
    <w:rsid w:val="48840342"/>
    <w:rsid w:val="48CD269E"/>
    <w:rsid w:val="48EA5276"/>
    <w:rsid w:val="48FF1773"/>
    <w:rsid w:val="4903B7E6"/>
    <w:rsid w:val="490BBF1C"/>
    <w:rsid w:val="491EE0BD"/>
    <w:rsid w:val="492B9F49"/>
    <w:rsid w:val="4944F142"/>
    <w:rsid w:val="495AB8A4"/>
    <w:rsid w:val="49A42FEC"/>
    <w:rsid w:val="49DB688F"/>
    <w:rsid w:val="4A2C33C2"/>
    <w:rsid w:val="4A53AEF5"/>
    <w:rsid w:val="4A7153CA"/>
    <w:rsid w:val="4A821D83"/>
    <w:rsid w:val="4A824F96"/>
    <w:rsid w:val="4A840FDA"/>
    <w:rsid w:val="4A8B568E"/>
    <w:rsid w:val="4AA03E55"/>
    <w:rsid w:val="4AB55B6E"/>
    <w:rsid w:val="4AF1C3EF"/>
    <w:rsid w:val="4AF916A4"/>
    <w:rsid w:val="4B3024ED"/>
    <w:rsid w:val="4B5400B1"/>
    <w:rsid w:val="4BC1B9C8"/>
    <w:rsid w:val="4C0940CD"/>
    <w:rsid w:val="4C40C64C"/>
    <w:rsid w:val="4C52478B"/>
    <w:rsid w:val="4C630174"/>
    <w:rsid w:val="4C663F7E"/>
    <w:rsid w:val="4C8FE52E"/>
    <w:rsid w:val="4C939E07"/>
    <w:rsid w:val="4C96D182"/>
    <w:rsid w:val="4CCCB627"/>
    <w:rsid w:val="4D506EE0"/>
    <w:rsid w:val="4D6B4FC3"/>
    <w:rsid w:val="4D8B4FB7"/>
    <w:rsid w:val="4D925BCE"/>
    <w:rsid w:val="4D9F2819"/>
    <w:rsid w:val="4DA5C194"/>
    <w:rsid w:val="4DAD3768"/>
    <w:rsid w:val="4DBF9407"/>
    <w:rsid w:val="4DD21E84"/>
    <w:rsid w:val="4DEA7129"/>
    <w:rsid w:val="4DFAAAB4"/>
    <w:rsid w:val="4E07E1B3"/>
    <w:rsid w:val="4E1734C9"/>
    <w:rsid w:val="4E24771E"/>
    <w:rsid w:val="4E2DADB4"/>
    <w:rsid w:val="4E3B2C9E"/>
    <w:rsid w:val="4E5A483F"/>
    <w:rsid w:val="4E5C1A3D"/>
    <w:rsid w:val="4E8A2459"/>
    <w:rsid w:val="4EA90524"/>
    <w:rsid w:val="4EE21DDA"/>
    <w:rsid w:val="4EF022C7"/>
    <w:rsid w:val="4F0A7BFD"/>
    <w:rsid w:val="4F2E1539"/>
    <w:rsid w:val="4F31F1BC"/>
    <w:rsid w:val="4F3D76E2"/>
    <w:rsid w:val="4F78D6BE"/>
    <w:rsid w:val="4F7D36E9"/>
    <w:rsid w:val="4F849E81"/>
    <w:rsid w:val="4FAB3D63"/>
    <w:rsid w:val="4FB3ADFC"/>
    <w:rsid w:val="4FC64C44"/>
    <w:rsid w:val="4FCCB6D1"/>
    <w:rsid w:val="4FCEEBD2"/>
    <w:rsid w:val="4FDB35C2"/>
    <w:rsid w:val="4FDD2F0F"/>
    <w:rsid w:val="501DCD61"/>
    <w:rsid w:val="5041B8BD"/>
    <w:rsid w:val="505AD246"/>
    <w:rsid w:val="5070BD3C"/>
    <w:rsid w:val="5079B94A"/>
    <w:rsid w:val="5081F26C"/>
    <w:rsid w:val="50B92B1C"/>
    <w:rsid w:val="50DF18D3"/>
    <w:rsid w:val="50F30C25"/>
    <w:rsid w:val="510FED7E"/>
    <w:rsid w:val="511F4E16"/>
    <w:rsid w:val="5132652A"/>
    <w:rsid w:val="513471AA"/>
    <w:rsid w:val="5156C8D3"/>
    <w:rsid w:val="51888568"/>
    <w:rsid w:val="51D6450C"/>
    <w:rsid w:val="521FFC68"/>
    <w:rsid w:val="5248511E"/>
    <w:rsid w:val="52600F17"/>
    <w:rsid w:val="5274DE6E"/>
    <w:rsid w:val="52B700C9"/>
    <w:rsid w:val="52C0D197"/>
    <w:rsid w:val="52CBBCE2"/>
    <w:rsid w:val="52D17AF4"/>
    <w:rsid w:val="52E6DCC9"/>
    <w:rsid w:val="530C549C"/>
    <w:rsid w:val="531A32AD"/>
    <w:rsid w:val="531B0969"/>
    <w:rsid w:val="5399BCAC"/>
    <w:rsid w:val="53C075C8"/>
    <w:rsid w:val="53DF967B"/>
    <w:rsid w:val="54150318"/>
    <w:rsid w:val="54184D3A"/>
    <w:rsid w:val="54321936"/>
    <w:rsid w:val="544D869A"/>
    <w:rsid w:val="546003E4"/>
    <w:rsid w:val="548B7B3A"/>
    <w:rsid w:val="548C7C7F"/>
    <w:rsid w:val="54D677E0"/>
    <w:rsid w:val="54F64153"/>
    <w:rsid w:val="550BE3D0"/>
    <w:rsid w:val="552BD527"/>
    <w:rsid w:val="5567CC3F"/>
    <w:rsid w:val="5587F2C9"/>
    <w:rsid w:val="55AB92F2"/>
    <w:rsid w:val="55B49F5C"/>
    <w:rsid w:val="55BC4F42"/>
    <w:rsid w:val="55C097CD"/>
    <w:rsid w:val="55D8C396"/>
    <w:rsid w:val="55E39A5A"/>
    <w:rsid w:val="55FFA502"/>
    <w:rsid w:val="5634C3E5"/>
    <w:rsid w:val="563F4F12"/>
    <w:rsid w:val="5652AE48"/>
    <w:rsid w:val="565DF475"/>
    <w:rsid w:val="565FED7D"/>
    <w:rsid w:val="56637EA7"/>
    <w:rsid w:val="566B6CBF"/>
    <w:rsid w:val="5686185E"/>
    <w:rsid w:val="56870036"/>
    <w:rsid w:val="568D3256"/>
    <w:rsid w:val="56BBF25E"/>
    <w:rsid w:val="56CCD67F"/>
    <w:rsid w:val="56D0F98D"/>
    <w:rsid w:val="56DD3D4F"/>
    <w:rsid w:val="56E84ED3"/>
    <w:rsid w:val="56EC8F1C"/>
    <w:rsid w:val="572F6D01"/>
    <w:rsid w:val="5731A620"/>
    <w:rsid w:val="573704D1"/>
    <w:rsid w:val="57644B36"/>
    <w:rsid w:val="576F2071"/>
    <w:rsid w:val="5770416E"/>
    <w:rsid w:val="57714497"/>
    <w:rsid w:val="578DE734"/>
    <w:rsid w:val="57A36498"/>
    <w:rsid w:val="57DAB257"/>
    <w:rsid w:val="57F9A64A"/>
    <w:rsid w:val="5802B3DA"/>
    <w:rsid w:val="58197695"/>
    <w:rsid w:val="581B99F3"/>
    <w:rsid w:val="581E54A6"/>
    <w:rsid w:val="582D15CF"/>
    <w:rsid w:val="583D47C9"/>
    <w:rsid w:val="5862ECBC"/>
    <w:rsid w:val="5888B613"/>
    <w:rsid w:val="589C18F6"/>
    <w:rsid w:val="58A329AC"/>
    <w:rsid w:val="58BDB5C7"/>
    <w:rsid w:val="58BE1022"/>
    <w:rsid w:val="58E3756E"/>
    <w:rsid w:val="58F9EBC8"/>
    <w:rsid w:val="59071F15"/>
    <w:rsid w:val="590D14F8"/>
    <w:rsid w:val="5913797F"/>
    <w:rsid w:val="593D0A5F"/>
    <w:rsid w:val="5947C4E9"/>
    <w:rsid w:val="595BEA35"/>
    <w:rsid w:val="598300E1"/>
    <w:rsid w:val="59982972"/>
    <w:rsid w:val="599F78EF"/>
    <w:rsid w:val="59BBBD62"/>
    <w:rsid w:val="59CC787F"/>
    <w:rsid w:val="59EE9029"/>
    <w:rsid w:val="5A20BF4C"/>
    <w:rsid w:val="5A466A63"/>
    <w:rsid w:val="5A51F82E"/>
    <w:rsid w:val="5A5BA5A5"/>
    <w:rsid w:val="5A5C71AA"/>
    <w:rsid w:val="5A6976DB"/>
    <w:rsid w:val="5A774CC8"/>
    <w:rsid w:val="5A9233C1"/>
    <w:rsid w:val="5A9C6E7D"/>
    <w:rsid w:val="5ADCA9A1"/>
    <w:rsid w:val="5AEABB7D"/>
    <w:rsid w:val="5B10D561"/>
    <w:rsid w:val="5B1244BA"/>
    <w:rsid w:val="5B263031"/>
    <w:rsid w:val="5B36C9BE"/>
    <w:rsid w:val="5B382BEF"/>
    <w:rsid w:val="5B88D22C"/>
    <w:rsid w:val="5B9B3F2B"/>
    <w:rsid w:val="5B9D2054"/>
    <w:rsid w:val="5BB114A1"/>
    <w:rsid w:val="5BC94D89"/>
    <w:rsid w:val="5BF1EE09"/>
    <w:rsid w:val="5BF3F1B2"/>
    <w:rsid w:val="5BF861CA"/>
    <w:rsid w:val="5C449010"/>
    <w:rsid w:val="5C6004D3"/>
    <w:rsid w:val="5C6E443E"/>
    <w:rsid w:val="5C743C77"/>
    <w:rsid w:val="5C8D7320"/>
    <w:rsid w:val="5CA94957"/>
    <w:rsid w:val="5CAF76CD"/>
    <w:rsid w:val="5CC244BD"/>
    <w:rsid w:val="5CCB6888"/>
    <w:rsid w:val="5CD3C421"/>
    <w:rsid w:val="5CE1F395"/>
    <w:rsid w:val="5CE6B9AB"/>
    <w:rsid w:val="5D0D6855"/>
    <w:rsid w:val="5D0F994E"/>
    <w:rsid w:val="5D299256"/>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D6760"/>
    <w:rsid w:val="5F04CD5F"/>
    <w:rsid w:val="5F4F32D5"/>
    <w:rsid w:val="5F51A602"/>
    <w:rsid w:val="5F571E47"/>
    <w:rsid w:val="5FAD6B89"/>
    <w:rsid w:val="5FCA14A7"/>
    <w:rsid w:val="5FDE95FB"/>
    <w:rsid w:val="5FEB3FDE"/>
    <w:rsid w:val="5FF9A2F8"/>
    <w:rsid w:val="6042CFFD"/>
    <w:rsid w:val="605245CA"/>
    <w:rsid w:val="607483CB"/>
    <w:rsid w:val="6077F26C"/>
    <w:rsid w:val="608308A0"/>
    <w:rsid w:val="608473DD"/>
    <w:rsid w:val="60BB0D6D"/>
    <w:rsid w:val="60C2ACA7"/>
    <w:rsid w:val="60CEB66C"/>
    <w:rsid w:val="60D1B1E7"/>
    <w:rsid w:val="61026820"/>
    <w:rsid w:val="61132848"/>
    <w:rsid w:val="615DF402"/>
    <w:rsid w:val="61957359"/>
    <w:rsid w:val="61A43F17"/>
    <w:rsid w:val="61B3AED9"/>
    <w:rsid w:val="61BDFC32"/>
    <w:rsid w:val="61F813B0"/>
    <w:rsid w:val="620F67DB"/>
    <w:rsid w:val="622502FB"/>
    <w:rsid w:val="62289A5B"/>
    <w:rsid w:val="622A12D1"/>
    <w:rsid w:val="6257D1B9"/>
    <w:rsid w:val="6261BB4C"/>
    <w:rsid w:val="6278BBB1"/>
    <w:rsid w:val="62933119"/>
    <w:rsid w:val="6298EE5F"/>
    <w:rsid w:val="62BFD2AD"/>
    <w:rsid w:val="62C7BB08"/>
    <w:rsid w:val="62FDD451"/>
    <w:rsid w:val="630FABC5"/>
    <w:rsid w:val="631CE946"/>
    <w:rsid w:val="634889F9"/>
    <w:rsid w:val="6372964C"/>
    <w:rsid w:val="6393577A"/>
    <w:rsid w:val="6393E411"/>
    <w:rsid w:val="63C6FBDE"/>
    <w:rsid w:val="63F90163"/>
    <w:rsid w:val="643E498C"/>
    <w:rsid w:val="643F7DD0"/>
    <w:rsid w:val="645B2879"/>
    <w:rsid w:val="64636B3B"/>
    <w:rsid w:val="64A7CAB3"/>
    <w:rsid w:val="64DAD180"/>
    <w:rsid w:val="64F32236"/>
    <w:rsid w:val="64FB30A8"/>
    <w:rsid w:val="651B9773"/>
    <w:rsid w:val="652895F6"/>
    <w:rsid w:val="654899A1"/>
    <w:rsid w:val="65635DCD"/>
    <w:rsid w:val="659010C6"/>
    <w:rsid w:val="65A3303A"/>
    <w:rsid w:val="65A598CF"/>
    <w:rsid w:val="65AACD6D"/>
    <w:rsid w:val="65F0CC5D"/>
    <w:rsid w:val="660A5AAC"/>
    <w:rsid w:val="661935A6"/>
    <w:rsid w:val="6636C2C4"/>
    <w:rsid w:val="6640794F"/>
    <w:rsid w:val="66841DA9"/>
    <w:rsid w:val="668F92DE"/>
    <w:rsid w:val="66AA757E"/>
    <w:rsid w:val="66E1689F"/>
    <w:rsid w:val="66FA563F"/>
    <w:rsid w:val="67325678"/>
    <w:rsid w:val="6736A6EE"/>
    <w:rsid w:val="673DE3A2"/>
    <w:rsid w:val="673F009B"/>
    <w:rsid w:val="67504FCD"/>
    <w:rsid w:val="6775CF22"/>
    <w:rsid w:val="67892A36"/>
    <w:rsid w:val="67CAEE4F"/>
    <w:rsid w:val="67E7FAE8"/>
    <w:rsid w:val="681DED0D"/>
    <w:rsid w:val="681FB2FA"/>
    <w:rsid w:val="6827F601"/>
    <w:rsid w:val="6837018D"/>
    <w:rsid w:val="685115C4"/>
    <w:rsid w:val="689484A9"/>
    <w:rsid w:val="689B8895"/>
    <w:rsid w:val="689EB7FE"/>
    <w:rsid w:val="68A2E9AE"/>
    <w:rsid w:val="68AFD1A2"/>
    <w:rsid w:val="68CBC539"/>
    <w:rsid w:val="68D3F236"/>
    <w:rsid w:val="6905434C"/>
    <w:rsid w:val="691EADE3"/>
    <w:rsid w:val="69277FA8"/>
    <w:rsid w:val="6936A076"/>
    <w:rsid w:val="695DE231"/>
    <w:rsid w:val="696E4A16"/>
    <w:rsid w:val="6979072B"/>
    <w:rsid w:val="6997DFDD"/>
    <w:rsid w:val="69A57E28"/>
    <w:rsid w:val="69A9F706"/>
    <w:rsid w:val="69C825CF"/>
    <w:rsid w:val="6A083306"/>
    <w:rsid w:val="6A16D44E"/>
    <w:rsid w:val="6A33F7F1"/>
    <w:rsid w:val="6A46822E"/>
    <w:rsid w:val="6A65D0F2"/>
    <w:rsid w:val="6A9D6F5C"/>
    <w:rsid w:val="6AA91CB9"/>
    <w:rsid w:val="6B0D5EFF"/>
    <w:rsid w:val="6B0F58FB"/>
    <w:rsid w:val="6B13E281"/>
    <w:rsid w:val="6B207F77"/>
    <w:rsid w:val="6B6790E5"/>
    <w:rsid w:val="6B72F298"/>
    <w:rsid w:val="6B7502FC"/>
    <w:rsid w:val="6B8AF2FF"/>
    <w:rsid w:val="6B9803B8"/>
    <w:rsid w:val="6B9FA4CA"/>
    <w:rsid w:val="6BACBBC2"/>
    <w:rsid w:val="6C1271BE"/>
    <w:rsid w:val="6C2613E7"/>
    <w:rsid w:val="6C3459A5"/>
    <w:rsid w:val="6C488CF5"/>
    <w:rsid w:val="6C4E6695"/>
    <w:rsid w:val="6C4E701A"/>
    <w:rsid w:val="6C9E4079"/>
    <w:rsid w:val="6C9F1754"/>
    <w:rsid w:val="6CB0E52C"/>
    <w:rsid w:val="6CC6AAA4"/>
    <w:rsid w:val="6CD446A3"/>
    <w:rsid w:val="6CD6B718"/>
    <w:rsid w:val="6CF8AA64"/>
    <w:rsid w:val="6D337A08"/>
    <w:rsid w:val="6D62ACEF"/>
    <w:rsid w:val="6D851059"/>
    <w:rsid w:val="6DAD0631"/>
    <w:rsid w:val="6DDB08CC"/>
    <w:rsid w:val="6DEFA147"/>
    <w:rsid w:val="6DF34264"/>
    <w:rsid w:val="6DF5D815"/>
    <w:rsid w:val="6E23E423"/>
    <w:rsid w:val="6E32BB3F"/>
    <w:rsid w:val="6E39F10A"/>
    <w:rsid w:val="6E444C01"/>
    <w:rsid w:val="6E5CF765"/>
    <w:rsid w:val="6E6E7433"/>
    <w:rsid w:val="6ED696B8"/>
    <w:rsid w:val="6EDBDF89"/>
    <w:rsid w:val="6EEA1E45"/>
    <w:rsid w:val="6F523F09"/>
    <w:rsid w:val="6F60EDD6"/>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402BC"/>
    <w:rsid w:val="705EA020"/>
    <w:rsid w:val="70726719"/>
    <w:rsid w:val="708A85C1"/>
    <w:rsid w:val="70991439"/>
    <w:rsid w:val="70A9AC89"/>
    <w:rsid w:val="70ACBFB5"/>
    <w:rsid w:val="70B6BACA"/>
    <w:rsid w:val="70B878A2"/>
    <w:rsid w:val="70BAA978"/>
    <w:rsid w:val="70D959DA"/>
    <w:rsid w:val="71069800"/>
    <w:rsid w:val="711386A4"/>
    <w:rsid w:val="71406290"/>
    <w:rsid w:val="7168937C"/>
    <w:rsid w:val="717191CC"/>
    <w:rsid w:val="71A4D05D"/>
    <w:rsid w:val="71B63CE5"/>
    <w:rsid w:val="71D74FDE"/>
    <w:rsid w:val="720669DC"/>
    <w:rsid w:val="72227BB5"/>
    <w:rsid w:val="723148BD"/>
    <w:rsid w:val="72319213"/>
    <w:rsid w:val="723C75F0"/>
    <w:rsid w:val="7267A7D5"/>
    <w:rsid w:val="72700795"/>
    <w:rsid w:val="72B20FB7"/>
    <w:rsid w:val="72BBFF1C"/>
    <w:rsid w:val="72CC4E71"/>
    <w:rsid w:val="72DF70E3"/>
    <w:rsid w:val="7320A744"/>
    <w:rsid w:val="733975AC"/>
    <w:rsid w:val="7351AACA"/>
    <w:rsid w:val="735F2665"/>
    <w:rsid w:val="737EE4EE"/>
    <w:rsid w:val="7385190D"/>
    <w:rsid w:val="738F128C"/>
    <w:rsid w:val="73BACF2E"/>
    <w:rsid w:val="73E15B83"/>
    <w:rsid w:val="73E3907D"/>
    <w:rsid w:val="73EFB8AA"/>
    <w:rsid w:val="73FB81CF"/>
    <w:rsid w:val="73FE7E08"/>
    <w:rsid w:val="740B0AC3"/>
    <w:rsid w:val="741ABF55"/>
    <w:rsid w:val="743E4ABA"/>
    <w:rsid w:val="74461877"/>
    <w:rsid w:val="744A6627"/>
    <w:rsid w:val="7456DBA1"/>
    <w:rsid w:val="745DEA3A"/>
    <w:rsid w:val="7462237B"/>
    <w:rsid w:val="747B47E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98E9D"/>
    <w:rsid w:val="76DBD49E"/>
    <w:rsid w:val="76F7CD54"/>
    <w:rsid w:val="773079A4"/>
    <w:rsid w:val="778206E9"/>
    <w:rsid w:val="77D1642F"/>
    <w:rsid w:val="77D35DBE"/>
    <w:rsid w:val="77F33C8D"/>
    <w:rsid w:val="781272F1"/>
    <w:rsid w:val="782D6F3A"/>
    <w:rsid w:val="786EA492"/>
    <w:rsid w:val="787525C0"/>
    <w:rsid w:val="7883637D"/>
    <w:rsid w:val="7883DC42"/>
    <w:rsid w:val="78A84712"/>
    <w:rsid w:val="78CC284A"/>
    <w:rsid w:val="78E75E02"/>
    <w:rsid w:val="78EC8461"/>
    <w:rsid w:val="78EEC447"/>
    <w:rsid w:val="79081C73"/>
    <w:rsid w:val="790B0DA7"/>
    <w:rsid w:val="793417DC"/>
    <w:rsid w:val="7999DF6D"/>
    <w:rsid w:val="799BD414"/>
    <w:rsid w:val="79D7EB70"/>
    <w:rsid w:val="79D8F631"/>
    <w:rsid w:val="79E7AD3A"/>
    <w:rsid w:val="79ECDA25"/>
    <w:rsid w:val="7A2BF5C0"/>
    <w:rsid w:val="7A9F2CFF"/>
    <w:rsid w:val="7AA1B8B5"/>
    <w:rsid w:val="7ACFB54F"/>
    <w:rsid w:val="7AE609E3"/>
    <w:rsid w:val="7B02C549"/>
    <w:rsid w:val="7B0F0BD6"/>
    <w:rsid w:val="7B2EAC28"/>
    <w:rsid w:val="7B33BB03"/>
    <w:rsid w:val="7B3E72BE"/>
    <w:rsid w:val="7B49B846"/>
    <w:rsid w:val="7B5719E4"/>
    <w:rsid w:val="7BA11822"/>
    <w:rsid w:val="7BDA7BCB"/>
    <w:rsid w:val="7BE8F841"/>
    <w:rsid w:val="7BEC8CC0"/>
    <w:rsid w:val="7BF30A41"/>
    <w:rsid w:val="7C246F0F"/>
    <w:rsid w:val="7C27F4B6"/>
    <w:rsid w:val="7C4F140A"/>
    <w:rsid w:val="7C524534"/>
    <w:rsid w:val="7CBC032E"/>
    <w:rsid w:val="7CCDFE51"/>
    <w:rsid w:val="7CD47B1F"/>
    <w:rsid w:val="7CE688CD"/>
    <w:rsid w:val="7D11BF0B"/>
    <w:rsid w:val="7D417ED9"/>
    <w:rsid w:val="7D515BB6"/>
    <w:rsid w:val="7D531FC8"/>
    <w:rsid w:val="7D7B4A60"/>
    <w:rsid w:val="7D7BBA7A"/>
    <w:rsid w:val="7D809ED1"/>
    <w:rsid w:val="7D8FB27B"/>
    <w:rsid w:val="7DA09CE5"/>
    <w:rsid w:val="7DA6348B"/>
    <w:rsid w:val="7DC680A3"/>
    <w:rsid w:val="7DD34939"/>
    <w:rsid w:val="7DD78737"/>
    <w:rsid w:val="7DE528A2"/>
    <w:rsid w:val="7E0074B5"/>
    <w:rsid w:val="7E3086E9"/>
    <w:rsid w:val="7E384DEA"/>
    <w:rsid w:val="7E479B88"/>
    <w:rsid w:val="7E628857"/>
    <w:rsid w:val="7E971AD4"/>
    <w:rsid w:val="7EA1E941"/>
    <w:rsid w:val="7EB35B24"/>
    <w:rsid w:val="7EB566A0"/>
    <w:rsid w:val="7EC3C244"/>
    <w:rsid w:val="7ECD0B41"/>
    <w:rsid w:val="7ED87240"/>
    <w:rsid w:val="7EE16535"/>
    <w:rsid w:val="7EE83C98"/>
    <w:rsid w:val="7EEF9025"/>
    <w:rsid w:val="7F001DC5"/>
    <w:rsid w:val="7F1680C3"/>
    <w:rsid w:val="7F3D07F5"/>
    <w:rsid w:val="7F46BD32"/>
    <w:rsid w:val="7F4EFB73"/>
    <w:rsid w:val="7F578E8F"/>
    <w:rsid w:val="7F66EE3E"/>
    <w:rsid w:val="7F76E923"/>
    <w:rsid w:val="7F89F2ED"/>
    <w:rsid w:val="7FB3CA72"/>
    <w:rsid w:val="7FE136D0"/>
    <w:rsid w:val="7FE1F8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4"/>
        <w:szCs w:val="24"/>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4"/>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4"/>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4"/>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4"/>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4"/>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4"/>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4"/>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4"/>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2"/>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3"/>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3"/>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3"/>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3"/>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5"/>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paragraph" w:styleId="xmsolistparagraph" w:customStyle="1">
    <w:name w:val="x_msolistparagraph"/>
    <w:basedOn w:val="Normal"/>
    <w:uiPriority w:val="99"/>
    <w:rsid w:val="001D620D"/>
    <w:rPr>
      <w:rFonts w:ascii="Calibri" w:hAnsi="Calibri" w:cs="Calibri" w:eastAsiaTheme="minorHAnsi"/>
      <w:sz w:val="22"/>
      <w:szCs w:val="22"/>
    </w:rPr>
  </w:style>
  <w:style w:type="character" w:styleId="contentcontrolboundarysink" w:customStyle="1">
    <w:name w:val="contentcontrolboundarysink"/>
    <w:basedOn w:val="DefaultParagraphFont"/>
    <w:rsid w:val="0072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67605901">
      <w:bodyDiv w:val="1"/>
      <w:marLeft w:val="0"/>
      <w:marRight w:val="0"/>
      <w:marTop w:val="0"/>
      <w:marBottom w:val="0"/>
      <w:divBdr>
        <w:top w:val="none" w:sz="0" w:space="0" w:color="auto"/>
        <w:left w:val="none" w:sz="0" w:space="0" w:color="auto"/>
        <w:bottom w:val="none" w:sz="0" w:space="0" w:color="auto"/>
        <w:right w:val="none" w:sz="0" w:space="0" w:color="auto"/>
      </w:divBdr>
      <w:divsChild>
        <w:div w:id="1442265346">
          <w:marLeft w:val="0"/>
          <w:marRight w:val="0"/>
          <w:marTop w:val="0"/>
          <w:marBottom w:val="0"/>
          <w:divBdr>
            <w:top w:val="none" w:sz="0" w:space="0" w:color="auto"/>
            <w:left w:val="none" w:sz="0" w:space="0" w:color="auto"/>
            <w:bottom w:val="none" w:sz="0" w:space="0" w:color="auto"/>
            <w:right w:val="none" w:sz="0" w:space="0" w:color="auto"/>
          </w:divBdr>
          <w:divsChild>
            <w:div w:id="1592666744">
              <w:marLeft w:val="0"/>
              <w:marRight w:val="0"/>
              <w:marTop w:val="0"/>
              <w:marBottom w:val="0"/>
              <w:divBdr>
                <w:top w:val="none" w:sz="0" w:space="0" w:color="auto"/>
                <w:left w:val="none" w:sz="0" w:space="0" w:color="auto"/>
                <w:bottom w:val="none" w:sz="0" w:space="0" w:color="auto"/>
                <w:right w:val="none" w:sz="0" w:space="0" w:color="auto"/>
              </w:divBdr>
              <w:divsChild>
                <w:div w:id="1764762379">
                  <w:marLeft w:val="0"/>
                  <w:marRight w:val="0"/>
                  <w:marTop w:val="0"/>
                  <w:marBottom w:val="0"/>
                  <w:divBdr>
                    <w:top w:val="none" w:sz="0" w:space="0" w:color="auto"/>
                    <w:left w:val="none" w:sz="0" w:space="0" w:color="auto"/>
                    <w:bottom w:val="none" w:sz="0" w:space="0" w:color="auto"/>
                    <w:right w:val="none" w:sz="0" w:space="0" w:color="auto"/>
                  </w:divBdr>
                  <w:divsChild>
                    <w:div w:id="57288900">
                      <w:marLeft w:val="0"/>
                      <w:marRight w:val="0"/>
                      <w:marTop w:val="0"/>
                      <w:marBottom w:val="0"/>
                      <w:divBdr>
                        <w:top w:val="none" w:sz="0" w:space="0" w:color="auto"/>
                        <w:left w:val="none" w:sz="0" w:space="0" w:color="auto"/>
                        <w:bottom w:val="none" w:sz="0" w:space="0" w:color="auto"/>
                        <w:right w:val="none" w:sz="0" w:space="0" w:color="auto"/>
                      </w:divBdr>
                      <w:divsChild>
                        <w:div w:id="1194533186">
                          <w:marLeft w:val="0"/>
                          <w:marRight w:val="0"/>
                          <w:marTop w:val="0"/>
                          <w:marBottom w:val="0"/>
                          <w:divBdr>
                            <w:top w:val="none" w:sz="0" w:space="0" w:color="auto"/>
                            <w:left w:val="none" w:sz="0" w:space="0" w:color="auto"/>
                            <w:bottom w:val="none" w:sz="0" w:space="0" w:color="auto"/>
                            <w:right w:val="none" w:sz="0" w:space="0" w:color="auto"/>
                          </w:divBdr>
                          <w:divsChild>
                            <w:div w:id="26494749">
                              <w:marLeft w:val="0"/>
                              <w:marRight w:val="0"/>
                              <w:marTop w:val="0"/>
                              <w:marBottom w:val="0"/>
                              <w:divBdr>
                                <w:top w:val="none" w:sz="0" w:space="0" w:color="auto"/>
                                <w:left w:val="none" w:sz="0" w:space="0" w:color="auto"/>
                                <w:bottom w:val="none" w:sz="0" w:space="0" w:color="auto"/>
                                <w:right w:val="none" w:sz="0" w:space="0" w:color="auto"/>
                              </w:divBdr>
                              <w:divsChild>
                                <w:div w:id="1648126426">
                                  <w:marLeft w:val="0"/>
                                  <w:marRight w:val="0"/>
                                  <w:marTop w:val="0"/>
                                  <w:marBottom w:val="0"/>
                                  <w:divBdr>
                                    <w:top w:val="none" w:sz="0" w:space="0" w:color="auto"/>
                                    <w:left w:val="none" w:sz="0" w:space="0" w:color="auto"/>
                                    <w:bottom w:val="none" w:sz="0" w:space="0" w:color="auto"/>
                                    <w:right w:val="none" w:sz="0" w:space="0" w:color="auto"/>
                                  </w:divBdr>
                                  <w:divsChild>
                                    <w:div w:id="6657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70471419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sChild>
        <w:div w:id="202256776">
          <w:marLeft w:val="0"/>
          <w:marRight w:val="0"/>
          <w:marTop w:val="0"/>
          <w:marBottom w:val="0"/>
          <w:divBdr>
            <w:top w:val="none" w:sz="0" w:space="0" w:color="auto"/>
            <w:left w:val="none" w:sz="0" w:space="0" w:color="auto"/>
            <w:bottom w:val="none" w:sz="0" w:space="0" w:color="auto"/>
            <w:right w:val="none" w:sz="0" w:space="0" w:color="auto"/>
          </w:divBdr>
          <w:divsChild>
            <w:div w:id="1493989351">
              <w:marLeft w:val="0"/>
              <w:marRight w:val="0"/>
              <w:marTop w:val="0"/>
              <w:marBottom w:val="0"/>
              <w:divBdr>
                <w:top w:val="none" w:sz="0" w:space="0" w:color="auto"/>
                <w:left w:val="none" w:sz="0" w:space="0" w:color="auto"/>
                <w:bottom w:val="none" w:sz="0" w:space="0" w:color="auto"/>
                <w:right w:val="none" w:sz="0" w:space="0" w:color="auto"/>
              </w:divBdr>
              <w:divsChild>
                <w:div w:id="706565255">
                  <w:marLeft w:val="0"/>
                  <w:marRight w:val="0"/>
                  <w:marTop w:val="0"/>
                  <w:marBottom w:val="0"/>
                  <w:divBdr>
                    <w:top w:val="none" w:sz="0" w:space="0" w:color="auto"/>
                    <w:left w:val="none" w:sz="0" w:space="0" w:color="auto"/>
                    <w:bottom w:val="none" w:sz="0" w:space="0" w:color="auto"/>
                    <w:right w:val="none" w:sz="0" w:space="0" w:color="auto"/>
                  </w:divBdr>
                  <w:divsChild>
                    <w:div w:id="665717121">
                      <w:marLeft w:val="0"/>
                      <w:marRight w:val="0"/>
                      <w:marTop w:val="0"/>
                      <w:marBottom w:val="0"/>
                      <w:divBdr>
                        <w:top w:val="none" w:sz="0" w:space="0" w:color="auto"/>
                        <w:left w:val="none" w:sz="0" w:space="0" w:color="auto"/>
                        <w:bottom w:val="none" w:sz="0" w:space="0" w:color="auto"/>
                        <w:right w:val="none" w:sz="0" w:space="0" w:color="auto"/>
                      </w:divBdr>
                      <w:divsChild>
                        <w:div w:id="1714885891">
                          <w:marLeft w:val="0"/>
                          <w:marRight w:val="0"/>
                          <w:marTop w:val="0"/>
                          <w:marBottom w:val="0"/>
                          <w:divBdr>
                            <w:top w:val="none" w:sz="0" w:space="0" w:color="auto"/>
                            <w:left w:val="none" w:sz="0" w:space="0" w:color="auto"/>
                            <w:bottom w:val="none" w:sz="0" w:space="0" w:color="auto"/>
                            <w:right w:val="none" w:sz="0" w:space="0" w:color="auto"/>
                          </w:divBdr>
                          <w:divsChild>
                            <w:div w:id="400062034">
                              <w:marLeft w:val="0"/>
                              <w:marRight w:val="0"/>
                              <w:marTop w:val="0"/>
                              <w:marBottom w:val="0"/>
                              <w:divBdr>
                                <w:top w:val="none" w:sz="0" w:space="0" w:color="auto"/>
                                <w:left w:val="none" w:sz="0" w:space="0" w:color="auto"/>
                                <w:bottom w:val="none" w:sz="0" w:space="0" w:color="auto"/>
                                <w:right w:val="none" w:sz="0" w:space="0" w:color="auto"/>
                              </w:divBdr>
                              <w:divsChild>
                                <w:div w:id="1800143426">
                                  <w:marLeft w:val="0"/>
                                  <w:marRight w:val="0"/>
                                  <w:marTop w:val="0"/>
                                  <w:marBottom w:val="0"/>
                                  <w:divBdr>
                                    <w:top w:val="none" w:sz="0" w:space="0" w:color="auto"/>
                                    <w:left w:val="none" w:sz="0" w:space="0" w:color="auto"/>
                                    <w:bottom w:val="none" w:sz="0" w:space="0" w:color="auto"/>
                                    <w:right w:val="none" w:sz="0" w:space="0" w:color="auto"/>
                                  </w:divBdr>
                                  <w:divsChild>
                                    <w:div w:id="18740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2351505">
      <w:bodyDiv w:val="1"/>
      <w:marLeft w:val="0"/>
      <w:marRight w:val="0"/>
      <w:marTop w:val="0"/>
      <w:marBottom w:val="0"/>
      <w:divBdr>
        <w:top w:val="none" w:sz="0" w:space="0" w:color="auto"/>
        <w:left w:val="none" w:sz="0" w:space="0" w:color="auto"/>
        <w:bottom w:val="none" w:sz="0" w:space="0" w:color="auto"/>
        <w:right w:val="none" w:sz="0" w:space="0" w:color="auto"/>
      </w:divBdr>
      <w:divsChild>
        <w:div w:id="926958274">
          <w:marLeft w:val="0"/>
          <w:marRight w:val="0"/>
          <w:marTop w:val="0"/>
          <w:marBottom w:val="0"/>
          <w:divBdr>
            <w:top w:val="none" w:sz="0" w:space="0" w:color="auto"/>
            <w:left w:val="none" w:sz="0" w:space="0" w:color="auto"/>
            <w:bottom w:val="none" w:sz="0" w:space="0" w:color="auto"/>
            <w:right w:val="none" w:sz="0" w:space="0" w:color="auto"/>
          </w:divBdr>
          <w:divsChild>
            <w:div w:id="167983780">
              <w:marLeft w:val="0"/>
              <w:marRight w:val="0"/>
              <w:marTop w:val="0"/>
              <w:marBottom w:val="0"/>
              <w:divBdr>
                <w:top w:val="none" w:sz="0" w:space="0" w:color="auto"/>
                <w:left w:val="none" w:sz="0" w:space="0" w:color="auto"/>
                <w:bottom w:val="none" w:sz="0" w:space="0" w:color="auto"/>
                <w:right w:val="none" w:sz="0" w:space="0" w:color="auto"/>
              </w:divBdr>
              <w:divsChild>
                <w:div w:id="1730691704">
                  <w:marLeft w:val="0"/>
                  <w:marRight w:val="0"/>
                  <w:marTop w:val="0"/>
                  <w:marBottom w:val="0"/>
                  <w:divBdr>
                    <w:top w:val="none" w:sz="0" w:space="0" w:color="auto"/>
                    <w:left w:val="none" w:sz="0" w:space="0" w:color="auto"/>
                    <w:bottom w:val="none" w:sz="0" w:space="0" w:color="auto"/>
                    <w:right w:val="none" w:sz="0" w:space="0" w:color="auto"/>
                  </w:divBdr>
                  <w:divsChild>
                    <w:div w:id="883097639">
                      <w:marLeft w:val="0"/>
                      <w:marRight w:val="0"/>
                      <w:marTop w:val="0"/>
                      <w:marBottom w:val="0"/>
                      <w:divBdr>
                        <w:top w:val="none" w:sz="0" w:space="0" w:color="auto"/>
                        <w:left w:val="none" w:sz="0" w:space="0" w:color="auto"/>
                        <w:bottom w:val="none" w:sz="0" w:space="0" w:color="auto"/>
                        <w:right w:val="none" w:sz="0" w:space="0" w:color="auto"/>
                      </w:divBdr>
                      <w:divsChild>
                        <w:div w:id="1026978565">
                          <w:marLeft w:val="0"/>
                          <w:marRight w:val="0"/>
                          <w:marTop w:val="0"/>
                          <w:marBottom w:val="0"/>
                          <w:divBdr>
                            <w:top w:val="none" w:sz="0" w:space="0" w:color="auto"/>
                            <w:left w:val="none" w:sz="0" w:space="0" w:color="auto"/>
                            <w:bottom w:val="none" w:sz="0" w:space="0" w:color="auto"/>
                            <w:right w:val="none" w:sz="0" w:space="0" w:color="auto"/>
                          </w:divBdr>
                          <w:divsChild>
                            <w:div w:id="276833594">
                              <w:marLeft w:val="0"/>
                              <w:marRight w:val="0"/>
                              <w:marTop w:val="0"/>
                              <w:marBottom w:val="0"/>
                              <w:divBdr>
                                <w:top w:val="none" w:sz="0" w:space="0" w:color="auto"/>
                                <w:left w:val="none" w:sz="0" w:space="0" w:color="auto"/>
                                <w:bottom w:val="none" w:sz="0" w:space="0" w:color="auto"/>
                                <w:right w:val="none" w:sz="0" w:space="0" w:color="auto"/>
                              </w:divBdr>
                              <w:divsChild>
                                <w:div w:id="1270970410">
                                  <w:marLeft w:val="0"/>
                                  <w:marRight w:val="0"/>
                                  <w:marTop w:val="0"/>
                                  <w:marBottom w:val="0"/>
                                  <w:divBdr>
                                    <w:top w:val="none" w:sz="0" w:space="0" w:color="auto"/>
                                    <w:left w:val="none" w:sz="0" w:space="0" w:color="auto"/>
                                    <w:bottom w:val="none" w:sz="0" w:space="0" w:color="auto"/>
                                    <w:right w:val="none" w:sz="0" w:space="0" w:color="auto"/>
                                  </w:divBdr>
                                  <w:divsChild>
                                    <w:div w:id="11146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66337499">
      <w:bodyDiv w:val="1"/>
      <w:marLeft w:val="0"/>
      <w:marRight w:val="0"/>
      <w:marTop w:val="0"/>
      <w:marBottom w:val="0"/>
      <w:divBdr>
        <w:top w:val="none" w:sz="0" w:space="0" w:color="auto"/>
        <w:left w:val="none" w:sz="0" w:space="0" w:color="auto"/>
        <w:bottom w:val="none" w:sz="0" w:space="0" w:color="auto"/>
        <w:right w:val="none" w:sz="0" w:space="0" w:color="auto"/>
      </w:divBdr>
      <w:divsChild>
        <w:div w:id="823157663">
          <w:marLeft w:val="0"/>
          <w:marRight w:val="0"/>
          <w:marTop w:val="0"/>
          <w:marBottom w:val="0"/>
          <w:divBdr>
            <w:top w:val="none" w:sz="0" w:space="0" w:color="auto"/>
            <w:left w:val="none" w:sz="0" w:space="0" w:color="auto"/>
            <w:bottom w:val="none" w:sz="0" w:space="0" w:color="auto"/>
            <w:right w:val="none" w:sz="0" w:space="0" w:color="auto"/>
          </w:divBdr>
          <w:divsChild>
            <w:div w:id="1601529985">
              <w:marLeft w:val="0"/>
              <w:marRight w:val="0"/>
              <w:marTop w:val="0"/>
              <w:marBottom w:val="0"/>
              <w:divBdr>
                <w:top w:val="none" w:sz="0" w:space="0" w:color="auto"/>
                <w:left w:val="none" w:sz="0" w:space="0" w:color="auto"/>
                <w:bottom w:val="none" w:sz="0" w:space="0" w:color="auto"/>
                <w:right w:val="none" w:sz="0" w:space="0" w:color="auto"/>
              </w:divBdr>
              <w:divsChild>
                <w:div w:id="1431194425">
                  <w:marLeft w:val="0"/>
                  <w:marRight w:val="0"/>
                  <w:marTop w:val="0"/>
                  <w:marBottom w:val="0"/>
                  <w:divBdr>
                    <w:top w:val="none" w:sz="0" w:space="0" w:color="auto"/>
                    <w:left w:val="none" w:sz="0" w:space="0" w:color="auto"/>
                    <w:bottom w:val="none" w:sz="0" w:space="0" w:color="auto"/>
                    <w:right w:val="none" w:sz="0" w:space="0" w:color="auto"/>
                  </w:divBdr>
                  <w:divsChild>
                    <w:div w:id="32268487">
                      <w:marLeft w:val="0"/>
                      <w:marRight w:val="0"/>
                      <w:marTop w:val="0"/>
                      <w:marBottom w:val="0"/>
                      <w:divBdr>
                        <w:top w:val="none" w:sz="0" w:space="0" w:color="auto"/>
                        <w:left w:val="none" w:sz="0" w:space="0" w:color="auto"/>
                        <w:bottom w:val="none" w:sz="0" w:space="0" w:color="auto"/>
                        <w:right w:val="none" w:sz="0" w:space="0" w:color="auto"/>
                      </w:divBdr>
                      <w:divsChild>
                        <w:div w:id="1347907552">
                          <w:marLeft w:val="0"/>
                          <w:marRight w:val="0"/>
                          <w:marTop w:val="0"/>
                          <w:marBottom w:val="0"/>
                          <w:divBdr>
                            <w:top w:val="none" w:sz="0" w:space="0" w:color="auto"/>
                            <w:left w:val="none" w:sz="0" w:space="0" w:color="auto"/>
                            <w:bottom w:val="none" w:sz="0" w:space="0" w:color="auto"/>
                            <w:right w:val="none" w:sz="0" w:space="0" w:color="auto"/>
                          </w:divBdr>
                          <w:divsChild>
                            <w:div w:id="1075125689">
                              <w:marLeft w:val="0"/>
                              <w:marRight w:val="0"/>
                              <w:marTop w:val="0"/>
                              <w:marBottom w:val="0"/>
                              <w:divBdr>
                                <w:top w:val="none" w:sz="0" w:space="0" w:color="auto"/>
                                <w:left w:val="none" w:sz="0" w:space="0" w:color="auto"/>
                                <w:bottom w:val="none" w:sz="0" w:space="0" w:color="auto"/>
                                <w:right w:val="none" w:sz="0" w:space="0" w:color="auto"/>
                              </w:divBdr>
                              <w:divsChild>
                                <w:div w:id="2050766049">
                                  <w:marLeft w:val="0"/>
                                  <w:marRight w:val="0"/>
                                  <w:marTop w:val="0"/>
                                  <w:marBottom w:val="0"/>
                                  <w:divBdr>
                                    <w:top w:val="none" w:sz="0" w:space="0" w:color="auto"/>
                                    <w:left w:val="none" w:sz="0" w:space="0" w:color="auto"/>
                                    <w:bottom w:val="none" w:sz="0" w:space="0" w:color="auto"/>
                                    <w:right w:val="none" w:sz="0" w:space="0" w:color="auto"/>
                                  </w:divBdr>
                                  <w:divsChild>
                                    <w:div w:id="9581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mediacentre.epo.org/razuna/assets/1/48E87A7B232941C28C61EBF14484744C/img/4BE215A6AB66443CB57087EF50114A60/Origin_of_patent_applications_Patent_Index_2024.jpg" TargetMode="External"/><Relationship Id="rId26" Type="http://schemas.openxmlformats.org/officeDocument/2006/relationships/hyperlink" Target="https://www.epo.org/de/about-us/statistics?mtm_camp=pressrelease&amp;mtm_key=PatentIndex&amp;mtm_medium=press" TargetMode="External"/><Relationship Id="rId21" Type="http://schemas.openxmlformats.org/officeDocument/2006/relationships/image" Target="media/image4.png"/><Relationship Id="rId34" Type="http://schemas.openxmlformats.org/officeDocument/2006/relationships/hyperlink" Target="https://www.youtube.com/user/EPOfilms/videos"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epo.org/de/about-us/statistics/statistics-centre" TargetMode="External"/><Relationship Id="rId33" Type="http://schemas.openxmlformats.org/officeDocument/2006/relationships/hyperlink" Target="https://www.instagram.com/europeanpatentoffice/" TargetMode="External"/><Relationship Id="rId38"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3.png"/><Relationship Id="rId29" Type="http://schemas.openxmlformats.org/officeDocument/2006/relationships/hyperlink" Target="https://www.epo.org/de/news-events/news/new-simplified-fee-system-supports-small-applicants-30-discounts" TargetMode="External"/><Relationship Id="R05d30170cf09485a" Type="http://schemas.openxmlformats.org/officeDocument/2006/relationships/hyperlink" Target="https://www.epo.org/de/applying/european/unitary?mtm_camp=pressrelease&amp;mtm_key=PatentIndex&amp;mtm_medium=press" TargetMode="External"/><Relationship Id="rId1" Type="http://schemas.openxmlformats.org/officeDocument/2006/relationships/customXml" Target="../customXml/item1.xml"/><Relationship Id="rId37" Type="http://schemas.openxmlformats.org/officeDocument/2006/relationships/fontTable" Target="fontTable.xml"/><Relationship Id="rId11" Type="http://schemas.openxmlformats.org/officeDocument/2006/relationships/webSettings" Target="webSettings.xml"/><Relationship Id="rId24" Type="http://schemas.openxmlformats.org/officeDocument/2006/relationships/hyperlink" Target="https://new.epo.org/de/statistics-centre?mtm_camp=pressrelease&amp;mtm_key=PatentIndex&amp;mtm_medium=press" TargetMode="External"/><Relationship Id="rId32" Type="http://schemas.openxmlformats.org/officeDocument/2006/relationships/hyperlink" Target="https://www.linkedin.com/company/163722?trk=tyah" TargetMode="External"/><Relationship Id="rId36" Type="http://schemas.openxmlformats.org/officeDocument/2006/relationships/hyperlink" Target="http://www.epoline.org/" TargetMode="External"/><Relationship Id="rId15" Type="http://schemas.openxmlformats.org/officeDocument/2006/relationships/hyperlink" Target="http://epo.org/patent-index2024?mtm_camp=press-multi&amp;mtm_key=patentindex&amp;mtm_medium=agency" TargetMode="External"/><Relationship Id="rId28" Type="http://schemas.openxmlformats.org/officeDocument/2006/relationships/hyperlink" Target="https://www.epo.org/de/about-us/observatory-patents-and-technology?mtm_camp=pressrelease&amp;mtm_key=PatentIndex&amp;mtm_medium=press" TargetMode="External"/><Relationship Id="rId10" Type="http://schemas.openxmlformats.org/officeDocument/2006/relationships/settings" Target="settings.xml"/><Relationship Id="rId19" Type="http://schemas.openxmlformats.org/officeDocument/2006/relationships/hyperlink" Target="https://mediacentre.epo.org/razuna/assets/1/48E87A7B232941C28C61EBF14484744C/img/4A949C5DD8C74EF9AF69C8B441707635/Applications_per_inhabitants_Patent_Index_2024.jpg" TargetMode="External"/><Relationship Id="rId31" Type="http://schemas.openxmlformats.org/officeDocument/2006/relationships/hyperlink" Target="https://www.facebook.com/europeanpatentoffic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mediacentre.epo.org/razuna/assets/1/48E87A7B232941C28C61EBF14484744C/img/5191F8E7DC2143B0BDC37D6D3DAFFD48/Applicant_type_Patent_Index_2024.jpg" TargetMode="External"/><Relationship Id="rId27" Type="http://schemas.openxmlformats.org/officeDocument/2006/relationships/hyperlink" Target="https://www.epo.org/de/about-us/statistics/epo-data-hub?mtm_camp=pressrelease&amp;mtm_key=PatentIndex&amp;mtm_medium=press" TargetMode="External"/><Relationship Id="rId30" Type="http://schemas.openxmlformats.org/officeDocument/2006/relationships/hyperlink" Target="https://twitter.com/EPOorg" TargetMode="External"/><Relationship Id="rId35" Type="http://schemas.openxmlformats.org/officeDocument/2006/relationships/hyperlink" Target="mailto:press@epo.org" TargetMode="External"/><Relationship Id="Ra3585e2da8db402e" Type="http://schemas.openxmlformats.org/officeDocument/2006/relationships/hyperlink" Target="https://www.epo.org/en/about-us/foundation/member-states?mtm_camp=pressrelease&amp;mtm_key=PatentIndex&amp;mtm_medium=press"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lcf76f155ced4ddcb4097134ff3c332f>
    <SharedWithUsers xmlns="595e3f38-353c-44bc-b614-3138c01124d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f663368490c63051fe2685c6ec5bcee6">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c8454e7b6d762cf96e74df565dad77b5"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189FBB2B560174185B7C7F9F0BCC146" ma:contentTypeVersion="19" ma:contentTypeDescription="Create a new document." ma:contentTypeScope="" ma:versionID="c6b7f1aa6d4233dd27675f98176e5e2c">
  <xsd:schema xmlns:xsd="http://www.w3.org/2001/XMLSchema" xmlns:xs="http://www.w3.org/2001/XMLSchema" xmlns:p="http://schemas.microsoft.com/office/2006/metadata/properties" xmlns:ns2="fc3b9ac8-4642-4160-8d0d-79e8d56141e8" xmlns:ns3="595e3f38-353c-44bc-b614-3138c01124d4" targetNamespace="http://schemas.microsoft.com/office/2006/metadata/properties" ma:root="true" ma:fieldsID="5a97b97b158880e906d5a85c05f155c2" ns2:_="" ns3:_="">
    <xsd:import namespace="fc3b9ac8-4642-4160-8d0d-79e8d56141e8"/>
    <xsd:import namespace="595e3f38-353c-44bc-b614-3138c0112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9ac8-4642-4160-8d0d-79e8d561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e3f38-353c-44bc-b614-3138c0112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9bfaf-6a7d-4f4c-95e2-d6b39a57440e}" ma:internalName="TaxCatchAll" ma:showField="CatchAllData" ma:web="595e3f38-353c-44bc-b614-3138c011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3.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4.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5.xml><?xml version="1.0" encoding="utf-8"?>
<ds:datastoreItem xmlns:ds="http://schemas.openxmlformats.org/officeDocument/2006/customXml" ds:itemID="{D7C37767-6EEE-48D0-836A-5D45131D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4177C8-BFE6-4060-AA5B-A7C0E9A57410}">
  <ds:schemaRefs>
    <ds:schemaRef ds:uri="http://schemas.microsoft.com/sharepoint/events"/>
  </ds:schemaRefs>
</ds:datastoreItem>
</file>

<file path=customXml/itemProps7.xml><?xml version="1.0" encoding="utf-8"?>
<ds:datastoreItem xmlns:ds="http://schemas.openxmlformats.org/officeDocument/2006/customXml" ds:itemID="{2172D33F-0864-4C0B-BADC-9954CF2923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Jana Kotalik</cp:lastModifiedBy>
  <cp:revision>6</cp:revision>
  <cp:lastPrinted>2024-01-04T16:00:00Z</cp:lastPrinted>
  <dcterms:created xsi:type="dcterms:W3CDTF">2025-03-19T16:10:00Z</dcterms:created>
  <dcterms:modified xsi:type="dcterms:W3CDTF">2025-03-20T18:01:22Z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0x010100F189FBB2B560174185B7C7F9F0BCC146</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GrammarlyDocumentId">
    <vt:lpwstr>18af17e59f7ec7bc8518bb0b97fe5a2639ae1467058391ddd767165bc2a27de3</vt:lpwstr>
  </property>
  <property fmtid="{D5CDD505-2E9C-101B-9397-08002B2CF9AE}" pid="10" name="Order">
    <vt:r8>24848500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