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932EA" w:rsidP="585C7251" w:rsidRDefault="000A4CC1" w14:paraId="00000002" w14:textId="77777777">
      <w:pPr>
        <w:pStyle w:val="LO-normal"/>
        <w:spacing w:before="240" w:after="240" w:line="360" w:lineRule="auto"/>
        <w:jc w:val="right"/>
        <w:rPr>
          <w:b/>
          <w:bCs/>
          <w:sz w:val="28"/>
          <w:szCs w:val="28"/>
        </w:rPr>
      </w:pPr>
      <w:r>
        <w:rPr>
          <w:b/>
          <w:sz w:val="28"/>
        </w:rPr>
        <w:t xml:space="preserve">COMMUNIQUÉ DE PRESSE </w:t>
      </w:r>
    </w:p>
    <w:p w:rsidR="00B932EA" w:rsidP="585C7251" w:rsidRDefault="000A4CC1" w14:paraId="00000003" w14:textId="77777777">
      <w:pPr>
        <w:pStyle w:val="LO-normal"/>
        <w:jc w:val="center"/>
        <w:rPr>
          <w:b/>
          <w:bCs/>
          <w:sz w:val="28"/>
          <w:szCs w:val="28"/>
        </w:rPr>
      </w:pPr>
      <w:r>
        <w:rPr>
          <w:b/>
          <w:sz w:val="28"/>
        </w:rPr>
        <w:t xml:space="preserve">Stockage d'énergie de nouvelle génération pour les parcs éoliens en mer : des ingénieurs maltais sélectionnés comme finalistes du Prix de l'inventeur européen 2024 </w:t>
      </w:r>
    </w:p>
    <w:p w:rsidR="00B932EA" w:rsidP="585C7251" w:rsidRDefault="00B932EA" w14:paraId="00000004" w14:textId="77777777">
      <w:pPr>
        <w:pStyle w:val="LO-normal"/>
        <w:jc w:val="center"/>
        <w:rPr>
          <w:b/>
          <w:bCs/>
          <w:sz w:val="28"/>
          <w:szCs w:val="28"/>
          <w:lang w:val="en-GB"/>
        </w:rPr>
      </w:pPr>
    </w:p>
    <w:p w:rsidR="00B932EA" w:rsidP="585C7251" w:rsidRDefault="000A4CC1" w14:paraId="00000005" w14:textId="0E7FCB7B">
      <w:pPr>
        <w:pStyle w:val="LO-normal"/>
        <w:numPr>
          <w:ilvl w:val="0"/>
          <w:numId w:val="1"/>
        </w:numPr>
        <w:ind w:left="714" w:hanging="357"/>
        <w:jc w:val="both"/>
        <w:rPr>
          <w:b/>
          <w:bCs/>
        </w:rPr>
      </w:pPr>
      <w:r>
        <w:rPr>
          <w:b/>
        </w:rPr>
        <w:t>Tonio Sant, Daniel Buhagiar et leur équipe ont mis au point un système de stockage d'énergie mécanique qui pourrait rendre l'énergie éolienne offshore plus fiable et plus prévisible</w:t>
      </w:r>
    </w:p>
    <w:p w:rsidR="00B932EA" w:rsidP="585C7251" w:rsidRDefault="000A4CC1" w14:paraId="32E05032" w14:textId="481A64BD">
      <w:pPr>
        <w:pStyle w:val="LO-normal"/>
        <w:numPr>
          <w:ilvl w:val="0"/>
          <w:numId w:val="1"/>
        </w:numPr>
        <w:ind w:left="714" w:hanging="357"/>
        <w:jc w:val="both"/>
        <w:rPr>
          <w:b w:val="1"/>
          <w:bCs w:val="1"/>
        </w:rPr>
      </w:pPr>
      <w:r w:rsidRPr="4A4E4822" w:rsidR="000A4CC1">
        <w:rPr>
          <w:b w:val="1"/>
          <w:bCs w:val="1"/>
        </w:rPr>
        <w:t>Leur invention utilise l'océan comme puits de chaleur, ce qui leur permet de simplifier la mécanique et d'augmenter l'efficacité du stockage et de la libération de l'énergie</w:t>
      </w:r>
    </w:p>
    <w:p w:rsidR="00B932EA" w:rsidP="4A4E4822" w:rsidRDefault="0AA4F435" w14:paraId="59ACE47D" w14:textId="09C62CBE">
      <w:pPr>
        <w:pStyle w:val="LO-normal"/>
        <w:numPr>
          <w:ilvl w:val="0"/>
          <w:numId w:val="1"/>
        </w:numPr>
        <w:ind w:left="714" w:hanging="357"/>
        <w:jc w:val="both"/>
        <w:rPr>
          <w:color w:val="000000" w:themeColor="text1" w:themeTint="FF" w:themeShade="FF"/>
        </w:rPr>
      </w:pPr>
      <w:r w:rsidRPr="4A4E4822" w:rsidR="0AA4F435">
        <w:rPr>
          <w:b w:val="1"/>
          <w:bCs w:val="1"/>
          <w:color w:val="000000" w:themeColor="text1" w:themeTint="FF" w:themeShade="FF"/>
        </w:rPr>
        <w:t xml:space="preserve">L'équipe maltaise concourra pour le prix de la catégorie </w:t>
      </w:r>
      <w:r w:rsidRPr="4A4E4822" w:rsidR="78FCB53E">
        <w:rPr>
          <w:b w:val="1"/>
          <w:bCs w:val="1"/>
          <w:color w:val="000000" w:themeColor="text1" w:themeTint="FF" w:themeShade="FF"/>
        </w:rPr>
        <w:t>« Recherche »</w:t>
      </w:r>
      <w:r w:rsidRPr="4A4E4822" w:rsidR="0AA4F435">
        <w:rPr>
          <w:b w:val="1"/>
          <w:bCs w:val="1"/>
          <w:color w:val="000000" w:themeColor="text1" w:themeTint="FF" w:themeShade="FF"/>
        </w:rPr>
        <w:t xml:space="preserve"> contre une équipe allemande et une équipe française. Les lauréats seront annoncés lors de la cérémonie de remise des prix le 9 juillet à Malte</w:t>
      </w:r>
    </w:p>
    <w:p w:rsidR="7B760F0B" w:rsidP="4A4E4822" w:rsidRDefault="7B760F0B" w14:paraId="3984712A" w14:textId="294C3EB0">
      <w:pPr>
        <w:pStyle w:val="LO-normal"/>
        <w:numPr>
          <w:ilvl w:val="0"/>
          <w:numId w:val="1"/>
        </w:numPr>
        <w:ind w:left="714" w:hanging="357"/>
        <w:jc w:val="both"/>
        <w:rPr>
          <w:color w:val="000000" w:themeColor="text1" w:themeTint="FF" w:themeShade="FF"/>
        </w:rPr>
      </w:pPr>
      <w:r w:rsidRPr="6233C9B7" w:rsidR="7B760F0B">
        <w:rPr>
          <w:b w:val="1"/>
          <w:bCs w:val="1"/>
          <w:color w:val="000000" w:themeColor="text1" w:themeTint="FF" w:themeShade="FF"/>
        </w:rPr>
        <w:t xml:space="preserve">Le vote pour le </w:t>
      </w:r>
      <w:hyperlink r:id="R3b79468e5af54272">
        <w:r w:rsidRPr="6233C9B7" w:rsidR="4D94F83C">
          <w:rPr>
            <w:rStyle w:val="Hyperlink"/>
            <w:rFonts w:ascii="Arial" w:hAnsi="Arial" w:eastAsia="Arial" w:cs="Arial"/>
            <w:b w:val="1"/>
            <w:bCs w:val="1"/>
            <w:i w:val="0"/>
            <w:iCs w:val="0"/>
            <w:caps w:val="0"/>
            <w:smallCaps w:val="0"/>
            <w:strike w:val="0"/>
            <w:dstrike w:val="0"/>
            <w:noProof w:val="0"/>
            <w:sz w:val="22"/>
            <w:szCs w:val="22"/>
            <w:lang w:val="fr-FR"/>
          </w:rPr>
          <w:t>Prix du public</w:t>
        </w:r>
      </w:hyperlink>
      <w:r w:rsidRPr="6233C9B7" w:rsidR="4D94F83C">
        <w:rPr>
          <w:rFonts w:ascii="Arial" w:hAnsi="Arial" w:eastAsia="Arial" w:cs="Arial"/>
          <w:b w:val="1"/>
          <w:bCs w:val="1"/>
          <w:i w:val="0"/>
          <w:iCs w:val="0"/>
          <w:caps w:val="0"/>
          <w:smallCaps w:val="0"/>
          <w:noProof w:val="0"/>
          <w:color w:val="000000" w:themeColor="text1" w:themeTint="FF" w:themeShade="FF"/>
          <w:sz w:val="22"/>
          <w:szCs w:val="22"/>
          <w:lang w:val="fr-FR"/>
        </w:rPr>
        <w:t>,</w:t>
      </w:r>
      <w:r w:rsidRPr="6233C9B7" w:rsidR="7B760F0B">
        <w:rPr>
          <w:b w:val="1"/>
          <w:bCs w:val="1"/>
          <w:color w:val="000000" w:themeColor="text1" w:themeTint="FF" w:themeShade="FF"/>
        </w:rPr>
        <w:t xml:space="preserve"> décerné par le public, est ouvert à partir d'aujourd'hui</w:t>
      </w:r>
    </w:p>
    <w:p w:rsidRPr="009F08B1" w:rsidR="00B932EA" w:rsidRDefault="00B932EA" w14:paraId="00000008" w14:textId="77777777">
      <w:pPr>
        <w:pStyle w:val="LO-normal"/>
        <w:jc w:val="both"/>
        <w:rPr>
          <w:b/>
          <w:lang w:val="en-GB"/>
        </w:rPr>
      </w:pPr>
    </w:p>
    <w:p w:rsidR="00B932EA" w:rsidRDefault="000A4CC1" w14:paraId="00000009" w14:textId="4D6815B7">
      <w:pPr>
        <w:pStyle w:val="LO-normal"/>
        <w:spacing w:line="240" w:lineRule="auto"/>
        <w:jc w:val="both"/>
      </w:pPr>
      <w:r w:rsidRPr="1BAD6F2B" w:rsidR="000A4CC1">
        <w:rPr>
          <w:b w:val="1"/>
          <w:bCs w:val="1"/>
        </w:rPr>
        <w:t xml:space="preserve">Munich, le 16 mai 2024 </w:t>
      </w:r>
      <w:r w:rsidR="000A4CC1">
        <w:rPr/>
        <w:t>- Selon l'</w:t>
      </w:r>
      <w:hyperlink r:id="R9e2d7fa7e9204534">
        <w:r w:rsidRPr="1BAD6F2B" w:rsidR="000A4CC1">
          <w:rPr>
            <w:rStyle w:val="Hyperlink"/>
          </w:rPr>
          <w:t>Agence européenne pour l'environnement (AEE)</w:t>
        </w:r>
      </w:hyperlink>
      <w:r w:rsidR="000A4CC1">
        <w:rPr/>
        <w:t xml:space="preserve">, les phénomènes météorologiques extrêmes causés par le changement climatique, tels que les tempêtes, les vagues de chaleur et les inondations, ont été à l'origine de 85 000 à 145 000 décès en Europe au cours des 40 dernières années. En outre, les pertes économiques de l'Europe dues aux effets du changement climatique provoqué par les combustibles fossiles pourraient dépasser 1 000 milliards d'euros par an dans un avenir proche, rien qu'en raison des vagues de chaleur et des inondations côtières. Pour réduire la dépendance à l'égard des combustibles fossiles, les sources d'énergie renouvelables telles que l'énergie éolienne et l'énergie solaire sont devenues incontournables, avec les défis posés par le caractère intermittent et variable de leur approvisionnement. La capacité à stocker efficacement cette énergie pour faire coïncider sa fourniture et la demande est essentielle. Deux ingénieurs maltais ont créé un </w:t>
      </w:r>
      <w:r w:rsidRPr="1BAD6F2B" w:rsidR="000A4CC1">
        <w:rPr>
          <w:b w:val="1"/>
          <w:bCs w:val="1"/>
        </w:rPr>
        <w:t>système mécanique de stockage d'énergie en mer, FLASC, capable de stocker l'énergie éolienne et de la redistribuer en fonction des besoins</w:t>
      </w:r>
      <w:r w:rsidR="000A4CC1">
        <w:rPr/>
        <w:t>. Pour cette réalisation, Tonio Sant, Daniel </w:t>
      </w:r>
      <w:r w:rsidR="000A4CC1">
        <w:rPr/>
        <w:t>Buhagiar</w:t>
      </w:r>
      <w:r w:rsidR="000A4CC1">
        <w:rPr/>
        <w:t xml:space="preserve"> et leur équipe ont été sélectionnés parmi 550 candidats, et sont désormais finalistes dans la catégorie </w:t>
      </w:r>
      <w:r w:rsidR="0707A6FF">
        <w:rPr/>
        <w:t>« Recherche »</w:t>
      </w:r>
      <w:r w:rsidR="000A4CC1">
        <w:rPr/>
        <w:t xml:space="preserve"> du Prix de l'inventeur européen 2024.</w:t>
      </w:r>
    </w:p>
    <w:p w:rsidR="00B932EA" w:rsidP="585C7251" w:rsidRDefault="000A4CC1" w14:paraId="0000000A" w14:textId="77777777">
      <w:pPr>
        <w:pStyle w:val="LO-normal"/>
        <w:spacing w:before="240" w:after="240" w:line="240" w:lineRule="auto"/>
        <w:jc w:val="both"/>
        <w:rPr>
          <w:b/>
          <w:bCs/>
          <w:color w:val="BE0F05"/>
          <w:highlight w:val="yellow"/>
        </w:rPr>
      </w:pPr>
      <w:r>
        <w:rPr>
          <w:b/>
          <w:color w:val="BE0F05"/>
        </w:rPr>
        <w:t>L'océan au service de l'efficacité</w:t>
      </w:r>
    </w:p>
    <w:p w:rsidR="00BD16B6" w:rsidP="585C7251" w:rsidRDefault="000A4CC1" w14:paraId="5F0916E9" w14:textId="1B1B9E8D">
      <w:pPr>
        <w:pStyle w:val="LO-normal"/>
        <w:spacing w:line="240" w:lineRule="auto"/>
        <w:jc w:val="both"/>
      </w:pPr>
      <w:r w:rsidR="000A4CC1">
        <w:rPr/>
        <w:t xml:space="preserve">Le système FLASC peut stocker d'importantes quantités d'énergie de manière sûre et durable. La plupart des composants sont déployés sous la mer, sur le site du parc éolien. Grâce à un mécanisme de piston liquide, il transforme l'énergie éolienne excédentaire en énergie stockée par compression de l'air, l'eau de mer pressurisée agissant comme un piston liquide dans des réservoirs à haute pression. Le système utilise l'océan lui-même comme dissipateur thermique, ce qui résout immédiatement l'un des principaux problèmes des dispositifs de stockage de cette nature. </w:t>
      </w:r>
      <w:r w:rsidR="5D43BD51">
        <w:rPr/>
        <w:t xml:space="preserve">« </w:t>
      </w:r>
      <w:r w:rsidRPr="1BAD6F2B" w:rsidR="000A4CC1">
        <w:rPr>
          <w:i w:val="1"/>
          <w:iCs w:val="1"/>
        </w:rPr>
        <w:t xml:space="preserve">Lors de la compression de l'air dans les réservoirs, l'eau de mer environnante absorbe la chaleur générée, la dissipant efficacement sans subir d'augmentation </w:t>
      </w:r>
      <w:r w:rsidRPr="1BAD6F2B" w:rsidR="000A4CC1">
        <w:rPr>
          <w:i w:val="1"/>
          <w:iCs w:val="1"/>
        </w:rPr>
        <w:t>mesurable de température. Lorsque nous détendons le gaz et produisons de l'électricité, la mer stabilise la température de notre air pour l'aider à se détendre en douceur et à produire de l'électricité pour répondre à la demande d'énergie</w:t>
      </w:r>
      <w:r w:rsidRPr="1BAD6F2B" w:rsidR="473543D0">
        <w:rPr>
          <w:i w:val="1"/>
          <w:iCs w:val="1"/>
        </w:rPr>
        <w:t xml:space="preserve"> </w:t>
      </w:r>
      <w:r w:rsidR="473543D0">
        <w:rPr/>
        <w:t>»</w:t>
      </w:r>
      <w:r w:rsidRPr="1BAD6F2B" w:rsidR="000A4CC1">
        <w:rPr>
          <w:i w:val="1"/>
          <w:iCs w:val="1"/>
        </w:rPr>
        <w:t xml:space="preserve">, </w:t>
      </w:r>
      <w:r w:rsidR="000A4CC1">
        <w:rPr/>
        <w:t>explique M. Sant.</w:t>
      </w:r>
      <w:r w:rsidRPr="1BAD6F2B" w:rsidR="000A4CC1">
        <w:rPr>
          <w:i w:val="1"/>
          <w:iCs w:val="1"/>
        </w:rPr>
        <w:t xml:space="preserve"> </w:t>
      </w:r>
      <w:r w:rsidR="1B10774A">
        <w:rPr/>
        <w:t xml:space="preserve">« </w:t>
      </w:r>
      <w:r w:rsidRPr="1BAD6F2B" w:rsidR="000A4CC1">
        <w:rPr>
          <w:i w:val="1"/>
          <w:iCs w:val="1"/>
        </w:rPr>
        <w:t xml:space="preserve">Cela nous permet de simplifier la technologie. Les systèmes actuels de stockage d'énergie par air comprimé utilisent du matériel supplémentaire pour stocker la chaleur générée et éviter les pertes d'énergie. </w:t>
      </w:r>
      <w:r w:rsidRPr="1BAD6F2B" w:rsidR="000A4CC1">
        <w:rPr>
          <w:i w:val="1"/>
          <w:iCs w:val="1"/>
        </w:rPr>
        <w:t>Nous n'avons pas besoin de ce stockage de chaleur supplémentaire, nous avons la mer</w:t>
      </w:r>
      <w:r w:rsidRPr="1BAD6F2B" w:rsidR="6F43141C">
        <w:rPr>
          <w:i w:val="1"/>
          <w:iCs w:val="1"/>
        </w:rPr>
        <w:t xml:space="preserve"> </w:t>
      </w:r>
      <w:r w:rsidR="6F43141C">
        <w:rPr/>
        <w:t>»</w:t>
      </w:r>
      <w:r w:rsidR="000A4CC1">
        <w:rPr/>
        <w:t>.</w:t>
      </w:r>
    </w:p>
    <w:p w:rsidR="00BD16B6" w:rsidP="585C7251" w:rsidRDefault="00BD16B6" w14:paraId="54C0295E" w14:textId="77777777">
      <w:pPr>
        <w:pStyle w:val="LO-normal"/>
        <w:spacing w:line="240" w:lineRule="auto"/>
        <w:jc w:val="both"/>
        <w:rPr>
          <w:lang w:val="en-GB"/>
        </w:rPr>
      </w:pPr>
    </w:p>
    <w:p w:rsidRPr="00777396" w:rsidR="00B932EA" w:rsidP="00BD16B6" w:rsidRDefault="001275AF" w14:paraId="0000000F" w14:textId="10B2028B">
      <w:pPr>
        <w:pStyle w:val="LO-normal"/>
        <w:spacing w:line="240" w:lineRule="auto"/>
        <w:jc w:val="both"/>
      </w:pPr>
      <w:r>
        <w:t>Pendant les périodes de faible vent, ce processus peut être inversé, libérant l'énergie hydraulique stockée dans l'air sous pression pour actionner une turbine et produire de l'électricité. Selon les inventeurs,</w:t>
      </w:r>
      <w:r>
        <w:rPr>
          <w:b/>
        </w:rPr>
        <w:t xml:space="preserve"> son efficacité permet de récupérer 93 % de tout le travail effectué sur le gaz, ce qui se traduit par un rendement global élevé. </w:t>
      </w:r>
    </w:p>
    <w:p w:rsidR="00B932EA" w:rsidP="585C7251" w:rsidRDefault="000A4CC1" w14:paraId="00000010" w14:textId="77777777">
      <w:pPr>
        <w:pStyle w:val="LO-normal"/>
        <w:spacing w:before="240" w:after="240" w:line="240" w:lineRule="auto"/>
        <w:jc w:val="both"/>
        <w:rPr>
          <w:b/>
          <w:bCs/>
          <w:color w:val="C0504D"/>
        </w:rPr>
      </w:pPr>
      <w:r>
        <w:rPr>
          <w:b/>
          <w:color w:val="C04F4D"/>
        </w:rPr>
        <w:t>Bien plus qu'un simple défi</w:t>
      </w:r>
    </w:p>
    <w:p w:rsidR="00B932EA" w:rsidP="585C7251" w:rsidRDefault="000A4CC1" w14:paraId="00000011" w14:textId="6846A543">
      <w:pPr>
        <w:pStyle w:val="LO-normal"/>
        <w:spacing w:line="240" w:lineRule="auto"/>
        <w:jc w:val="both"/>
      </w:pPr>
      <w:r w:rsidR="000A4CC1">
        <w:rPr/>
        <w:t xml:space="preserve">Le système a été mis au point pendant le doctorat de M. </w:t>
      </w:r>
      <w:r w:rsidR="000A4CC1">
        <w:rPr/>
        <w:t>Buhagiar</w:t>
      </w:r>
      <w:r w:rsidR="000A4CC1">
        <w:rPr/>
        <w:t xml:space="preserve"> à l'Université de Malte, sous la supervision du professeur Tonio Sant du département d'ingénierie mécanique.</w:t>
      </w:r>
      <w:r w:rsidRPr="1BAD6F2B" w:rsidR="000A4CC1">
        <w:rPr>
          <w:b w:val="1"/>
          <w:bCs w:val="1"/>
        </w:rPr>
        <w:t xml:space="preserve"> </w:t>
      </w:r>
      <w:r w:rsidR="000A4CC1">
        <w:rPr/>
        <w:t>Au départ, il s'agissait d'un problème académique, mais il a pris de l'ampleur lorsque le Bureau de transfert des connaissances (KTO) de l'université a suggéré que l'idée était suffisamment bonne pour être brevetée.</w:t>
      </w:r>
      <w:r w:rsidRPr="1BAD6F2B" w:rsidR="000A4CC1">
        <w:rPr>
          <w:i w:val="1"/>
          <w:iCs w:val="1"/>
        </w:rPr>
        <w:t xml:space="preserve"> </w:t>
      </w:r>
      <w:r w:rsidR="5A72EAD1">
        <w:rPr/>
        <w:t xml:space="preserve">« </w:t>
      </w:r>
      <w:r w:rsidRPr="1BAD6F2B" w:rsidR="000A4CC1">
        <w:rPr>
          <w:i w:val="1"/>
          <w:iCs w:val="1"/>
        </w:rPr>
        <w:t xml:space="preserve">Nous pensons toujours à la mer en tant que ressource, car nous sommes une petite île. </w:t>
      </w:r>
      <w:r w:rsidRPr="1BAD6F2B" w:rsidR="000A4CC1">
        <w:rPr>
          <w:i w:val="1"/>
          <w:iCs w:val="1"/>
        </w:rPr>
        <w:t>L'idée était donc simple : et si nous pouvions avoir un système de stockage de l'énergie qui soit installé dans le parc éolien en mer en utilisant la même surface au sol</w:t>
      </w:r>
      <w:r w:rsidRPr="1BAD6F2B" w:rsidR="214EE4E1">
        <w:rPr>
          <w:i w:val="1"/>
          <w:iCs w:val="1"/>
        </w:rPr>
        <w:t xml:space="preserve"> </w:t>
      </w:r>
      <w:r w:rsidR="214EE4E1">
        <w:rPr/>
        <w:t>»</w:t>
      </w:r>
      <w:r w:rsidR="000A4CC1">
        <w:rPr/>
        <w:t>, répond M. </w:t>
      </w:r>
      <w:r w:rsidR="000A4CC1">
        <w:rPr/>
        <w:t>Buhagiar</w:t>
      </w:r>
      <w:r w:rsidR="000A4CC1">
        <w:rPr/>
        <w:t xml:space="preserve"> à propos de leur inspiration.</w:t>
      </w:r>
      <w:r w:rsidRPr="1BAD6F2B" w:rsidR="000A4CC1">
        <w:rPr>
          <w:i w:val="1"/>
          <w:iCs w:val="1"/>
        </w:rPr>
        <w:t xml:space="preserve"> </w:t>
      </w:r>
      <w:r w:rsidRPr="1BAD6F2B" w:rsidR="78312C9E">
        <w:rPr>
          <w:i w:val="1"/>
          <w:iCs w:val="1"/>
        </w:rPr>
        <w:t xml:space="preserve">« </w:t>
      </w:r>
      <w:r w:rsidRPr="1BAD6F2B" w:rsidR="000A4CC1">
        <w:rPr>
          <w:i w:val="1"/>
          <w:iCs w:val="1"/>
        </w:rPr>
        <w:t xml:space="preserve">Lorsque nous avons réalisé le prototype, nous n'avions pas l'idée qu'il constituait une étape vers la commercialisation. </w:t>
      </w:r>
      <w:r w:rsidRPr="1BAD6F2B" w:rsidR="000A4CC1">
        <w:rPr>
          <w:i w:val="1"/>
          <w:iCs w:val="1"/>
        </w:rPr>
        <w:t>Il s'agissait plutôt d'un exercice académique visant à valider les modèles</w:t>
      </w:r>
      <w:r w:rsidRPr="1BAD6F2B" w:rsidR="17E48933">
        <w:rPr>
          <w:i w:val="1"/>
          <w:iCs w:val="1"/>
        </w:rPr>
        <w:t xml:space="preserve"> </w:t>
      </w:r>
      <w:r w:rsidR="17E48933">
        <w:rPr/>
        <w:t>»</w:t>
      </w:r>
      <w:r w:rsidR="000A4CC1">
        <w:rPr/>
        <w:t xml:space="preserve">. </w:t>
      </w:r>
    </w:p>
    <w:p w:rsidR="00B932EA" w:rsidP="585C7251" w:rsidRDefault="00B932EA" w14:paraId="00000012" w14:textId="77777777">
      <w:pPr>
        <w:pStyle w:val="LO-normal"/>
        <w:spacing w:line="240" w:lineRule="auto"/>
        <w:jc w:val="both"/>
        <w:rPr>
          <w:lang w:val="en-GB"/>
        </w:rPr>
      </w:pPr>
    </w:p>
    <w:p w:rsidR="00B932EA" w:rsidP="2A6DEF08" w:rsidRDefault="000A4CC1" w14:paraId="00000013" w14:textId="4B42AA14">
      <w:pPr>
        <w:pStyle w:val="LO-normal"/>
        <w:spacing w:line="240" w:lineRule="auto"/>
        <w:jc w:val="both"/>
      </w:pPr>
      <w:r w:rsidR="000A4CC1">
        <w:rPr/>
        <w:t xml:space="preserve">L'université de Malte et l'équipe de FLASC ont créé </w:t>
      </w:r>
      <w:r w:rsidR="000A4CC1">
        <w:rPr>
          <w:shd w:val="clear" w:color="auto" w:fill="FFFFFF"/>
        </w:rPr>
        <w:t xml:space="preserve">FLASC B.V., une entreprise issue de l'essaimage dans le but de la développer. </w:t>
      </w:r>
      <w:r w:rsidR="000A4CC1">
        <w:rPr/>
        <w:t xml:space="preserve">Leur équipe fait partie des trois finalistes dans la catégorie </w:t>
      </w:r>
      <w:r w:rsidR="6CEA22EF">
        <w:rPr/>
        <w:t>« Recherche »</w:t>
      </w:r>
      <w:r w:rsidR="000A4CC1">
        <w:rPr/>
        <w:t xml:space="preserve"> du Prix de l'inventeur européen 2024. Les autres finalistes reconnus pour leur travail exceptionnel sont l'Allemande </w:t>
      </w:r>
      <w:r w:rsidR="000A4CC1">
        <w:rPr/>
        <w:t xml:space="preserve">Cordelia</w:t>
      </w:r>
      <w:r w:rsidR="000A4CC1">
        <w:rPr/>
        <w:t xml:space="preserve"> Schmid, pour ses travaux en intelligence artificielle donnant à la machine une perception avancée très similaire à l'interprétation visuelle humaine, et l'équipe française dirigée par David Devos et Caroline Moreau pour leurs traitements innovants de la maladie de Parkinson. L'OEB annoncera les lauréats lors d'une cérémonie retransmise en direct</w:t>
      </w:r>
      <w:r w:rsidR="487F346C">
        <w:rPr/>
        <w:t xml:space="preserve"> </w:t>
      </w:r>
      <w:hyperlink r:id="R7e0bb0a29ca9429c">
        <w:r w:rsidRPr="1780D1EF" w:rsidR="487F346C">
          <w:rPr>
            <w:rStyle w:val="Hyperlink"/>
          </w:rPr>
          <w:t>ici</w:t>
        </w:r>
      </w:hyperlink>
      <w:r w:rsidR="000A4CC1">
        <w:rPr/>
        <w:t xml:space="preserve"> depuis Malte, la patrie de M. Sant et M. </w:t>
      </w:r>
      <w:r w:rsidR="000A4CC1">
        <w:rPr/>
        <w:t xml:space="preserve">Buhagiar</w:t>
      </w:r>
      <w:r w:rsidR="000A4CC1">
        <w:rPr/>
        <w:t xml:space="preserve">, le 9 juillet 2024. En plus</w:t>
      </w:r>
      <w:r w:rsidR="000A4CC1">
        <w:rPr/>
        <w:t xml:space="preserve"> de chaq</w:t>
      </w:r>
      <w:r w:rsidR="000A4CC1">
        <w:rPr/>
        <w:t xml:space="preserve">ue catégorie, l'OEB dévoilera le lauréat du Prix du public, décerné sur la base des votes du public. Les votes sont ouverts jusqu'au jour de la cérémonie.  </w:t>
      </w:r>
    </w:p>
    <w:p w:rsidR="00B932EA" w:rsidP="585C7251" w:rsidRDefault="000A4CC1" w14:paraId="00000014" w14:textId="1DA47DDE">
      <w:pPr>
        <w:pStyle w:val="LO-normal"/>
        <w:spacing w:line="240" w:lineRule="auto"/>
        <w:jc w:val="both"/>
        <w:rPr>
          <w:color w:val="00000A"/>
          <w:highlight w:val="yellow"/>
        </w:rPr>
      </w:pPr>
      <w:r>
        <w:br/>
      </w:r>
      <w:r w:rsidRPr="1BAD6F2B" w:rsidR="000A4CC1">
        <w:rPr>
          <w:color w:val="00000A"/>
        </w:rPr>
        <w:t>Pour plus d'informations sur le retentissement de cette invention, la technologie, et la biographie des inventeurs, cliquez</w:t>
      </w:r>
      <w:r w:rsidRPr="1BAD6F2B" w:rsidR="2EEF0909">
        <w:rPr>
          <w:color w:val="00000A"/>
        </w:rPr>
        <w:t xml:space="preserve"> </w:t>
      </w:r>
      <w:hyperlink r:id="R2359900454cd4d30">
        <w:r w:rsidRPr="1BAD6F2B" w:rsidR="2EEF0909">
          <w:rPr>
            <w:rStyle w:val="Hyperlink"/>
          </w:rPr>
          <w:t>ici</w:t>
        </w:r>
      </w:hyperlink>
      <w:r w:rsidRPr="1BAD6F2B" w:rsidR="2EEF0909">
        <w:rPr>
          <w:color w:val="00000A"/>
        </w:rPr>
        <w:t>.</w:t>
      </w:r>
    </w:p>
    <w:p w:rsidR="00B932EA" w:rsidP="585C7251" w:rsidRDefault="00B932EA" w14:paraId="00000015" w14:textId="77777777">
      <w:pPr>
        <w:pStyle w:val="LO-normal"/>
        <w:spacing w:line="360" w:lineRule="auto"/>
        <w:rPr>
          <w:b/>
          <w:bCs/>
          <w:lang w:val="en-GB"/>
        </w:rPr>
      </w:pPr>
    </w:p>
    <w:p w:rsidR="00B932EA" w:rsidP="585C7251" w:rsidRDefault="000A4CC1" w14:paraId="00000016" w14:textId="77777777">
      <w:pPr>
        <w:pStyle w:val="LO-normal"/>
        <w:spacing w:after="160" w:line="259" w:lineRule="auto"/>
        <w:rPr>
          <w:sz w:val="20"/>
          <w:szCs w:val="20"/>
        </w:rPr>
      </w:pPr>
      <w:r>
        <w:rPr>
          <w:b/>
          <w:sz w:val="20"/>
        </w:rPr>
        <w:t>Relations avec les médias – Office européen des brevets</w:t>
      </w:r>
    </w:p>
    <w:p w:rsidR="00B932EA" w:rsidP="585C7251" w:rsidRDefault="000A4CC1" w14:paraId="00000017" w14:textId="77777777">
      <w:pPr>
        <w:pStyle w:val="LO-normal"/>
        <w:spacing w:line="240" w:lineRule="auto"/>
        <w:rPr>
          <w:sz w:val="20"/>
          <w:szCs w:val="20"/>
        </w:rPr>
      </w:pPr>
      <w:r>
        <w:rPr>
          <w:b/>
          <w:sz w:val="20"/>
        </w:rPr>
        <w:t>Luis Berenguer Giménez</w:t>
      </w:r>
      <w:r>
        <w:rPr>
          <w:sz w:val="20"/>
        </w:rPr>
        <w:t xml:space="preserve"> </w:t>
      </w:r>
      <w:r>
        <w:br/>
      </w:r>
      <w:r>
        <w:rPr>
          <w:sz w:val="20"/>
        </w:rPr>
        <w:t>Directeur principal Communication / Porte-parole de l'OEB</w:t>
      </w:r>
    </w:p>
    <w:p w:rsidR="00B932EA" w:rsidP="585C7251" w:rsidRDefault="00B932EA" w14:paraId="00000018" w14:textId="77777777">
      <w:pPr>
        <w:pStyle w:val="LO-normal"/>
        <w:spacing w:line="240" w:lineRule="auto"/>
        <w:rPr>
          <w:b/>
          <w:bCs/>
          <w:sz w:val="20"/>
          <w:szCs w:val="20"/>
          <w:lang w:val="en-GB"/>
        </w:rPr>
      </w:pPr>
    </w:p>
    <w:p w:rsidR="00B932EA" w:rsidP="585C7251" w:rsidRDefault="000A4CC1" w14:paraId="00000019" w14:textId="77777777">
      <w:pPr>
        <w:pStyle w:val="LO-normal"/>
        <w:spacing w:line="240" w:lineRule="auto"/>
        <w:rPr>
          <w:sz w:val="20"/>
          <w:szCs w:val="20"/>
        </w:rPr>
      </w:pPr>
      <w:r>
        <w:rPr>
          <w:b/>
          <w:sz w:val="20"/>
        </w:rPr>
        <w:t>Service presse de l'OEB</w:t>
      </w:r>
    </w:p>
    <w:p w:rsidR="00B932EA" w:rsidP="585C7251" w:rsidRDefault="000114B1" w14:paraId="0000001A" w14:textId="77777777">
      <w:pPr>
        <w:pStyle w:val="LO-normal"/>
        <w:rPr>
          <w:b/>
          <w:bCs/>
          <w:sz w:val="18"/>
          <w:szCs w:val="18"/>
        </w:rPr>
      </w:pPr>
      <w:hyperlink r:id="Rf5735f8889694dda">
        <w:r w:rsidRPr="1BAD6F2B" w:rsidR="000114B1">
          <w:rPr>
            <w:color w:val="0000FF"/>
            <w:sz w:val="20"/>
            <w:szCs w:val="20"/>
            <w:u w:val="single"/>
          </w:rPr>
          <w:t>press@epo.org</w:t>
        </w:r>
      </w:hyperlink>
      <w:r w:rsidRPr="1BAD6F2B" w:rsidR="000114B1">
        <w:rPr>
          <w:sz w:val="20"/>
          <w:szCs w:val="20"/>
        </w:rPr>
        <w:t xml:space="preserve"> </w:t>
      </w:r>
      <w:r>
        <w:br/>
      </w:r>
      <w:r w:rsidRPr="1BAD6F2B" w:rsidR="000114B1">
        <w:rPr>
          <w:sz w:val="20"/>
          <w:szCs w:val="20"/>
        </w:rPr>
        <w:t>Tél. : +49 89 2399-1833</w:t>
      </w:r>
      <w:r>
        <w:br/>
      </w:r>
    </w:p>
    <w:p w:rsidR="399FB433" w:rsidP="1BAD6F2B" w:rsidRDefault="399FB433" w14:paraId="47BFC541" w14:textId="3195102B">
      <w:pPr>
        <w:spacing w:before="240" w:after="240"/>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1BAD6F2B" w:rsidR="399FB433">
        <w:rPr>
          <w:rFonts w:ascii="Arial" w:hAnsi="Arial" w:eastAsia="Arial" w:cs="Arial"/>
          <w:b w:val="1"/>
          <w:bCs w:val="1"/>
          <w:i w:val="0"/>
          <w:iCs w:val="0"/>
          <w:caps w:val="0"/>
          <w:smallCaps w:val="0"/>
          <w:strike w:val="0"/>
          <w:dstrike w:val="0"/>
          <w:noProof w:val="0"/>
          <w:color w:val="000000" w:themeColor="text1" w:themeTint="FF" w:themeShade="FF"/>
          <w:sz w:val="18"/>
          <w:szCs w:val="18"/>
          <w:u w:val="none"/>
          <w:lang w:val="fr-FR"/>
        </w:rPr>
        <w:t xml:space="preserve">À propos du Prix de l’inventeur européen </w:t>
      </w:r>
      <w:r w:rsidRPr="1BAD6F2B" w:rsidR="399FB433">
        <w:rPr>
          <w:rFonts w:ascii="Arial" w:hAnsi="Arial" w:eastAsia="Arial" w:cs="Arial"/>
          <w:b w:val="0"/>
          <w:bCs w:val="0"/>
          <w:i w:val="0"/>
          <w:iCs w:val="0"/>
          <w:caps w:val="0"/>
          <w:smallCaps w:val="0"/>
          <w:noProof w:val="0"/>
          <w:color w:val="000000" w:themeColor="text1" w:themeTint="FF" w:themeShade="FF"/>
          <w:sz w:val="18"/>
          <w:szCs w:val="18"/>
          <w:lang w:val="en-GB"/>
        </w:rPr>
        <w:t xml:space="preserve"> </w:t>
      </w:r>
    </w:p>
    <w:p w:rsidR="399FB433" w:rsidP="1BAD6F2B" w:rsidRDefault="399FB433" w14:paraId="3BEF3E02" w14:textId="28FC23C1">
      <w:pPr>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1BAD6F2B" w:rsidR="399FB433">
        <w:rPr>
          <w:rFonts w:ascii="Arial" w:hAnsi="Arial" w:eastAsia="Arial" w:cs="Arial"/>
          <w:b w:val="0"/>
          <w:bCs w:val="0"/>
          <w:i w:val="0"/>
          <w:iCs w:val="0"/>
          <w:caps w:val="0"/>
          <w:smallCaps w:val="0"/>
          <w:noProof w:val="0"/>
          <w:color w:val="000000" w:themeColor="text1" w:themeTint="FF" w:themeShade="FF"/>
          <w:sz w:val="18"/>
          <w:szCs w:val="18"/>
          <w:lang w:val="fr-FR"/>
        </w:rPr>
        <w:t xml:space="preserve">Le Prix de l'inventeur européen est l'un des prix d'innovation les plus prestigieux d'Europe. Lancé par l'OEB en 2006, il récompense des personnes et des équipes qui ont trouvé des solutions à certains des plus grands défis de notre époque. Le jury du Prix de l'inventeur européen est composé d'inventeurs qui sont tous d'anciens finalistes. Pour juger les propositions, le panel indépendant s'appuie sur leur riche expertise technique, commerciale et en matière de propriété intellectuelle. En 2024, le jury sera présidé par Wolfgang M. Heckl. Tous les inventeurs doivent avoir obtenu un brevet européen pour leur invention. Pour en savoir plus sur les différentes catégories, les prix, les critères de sélection et la cérémonie en direct qui se tiendra le 9 juillet à Malte, cliquez </w:t>
      </w:r>
      <w:hyperlink r:id="R8dc4faaeb1f9426b">
        <w:r w:rsidRPr="1BAD6F2B" w:rsidR="399FB433">
          <w:rPr>
            <w:rStyle w:val="Hyperlink"/>
            <w:rFonts w:ascii="Arial" w:hAnsi="Arial" w:eastAsia="Arial" w:cs="Arial"/>
            <w:b w:val="0"/>
            <w:bCs w:val="0"/>
            <w:i w:val="0"/>
            <w:iCs w:val="0"/>
            <w:caps w:val="0"/>
            <w:smallCaps w:val="0"/>
            <w:strike w:val="0"/>
            <w:dstrike w:val="0"/>
            <w:noProof w:val="0"/>
            <w:sz w:val="18"/>
            <w:szCs w:val="18"/>
            <w:lang w:val="fr-FR"/>
          </w:rPr>
          <w:t>ici</w:t>
        </w:r>
      </w:hyperlink>
      <w:r w:rsidRPr="1BAD6F2B" w:rsidR="399FB433">
        <w:rPr>
          <w:rFonts w:ascii="Arial" w:hAnsi="Arial" w:eastAsia="Arial" w:cs="Arial"/>
          <w:b w:val="0"/>
          <w:bCs w:val="0"/>
          <w:i w:val="0"/>
          <w:iCs w:val="0"/>
          <w:caps w:val="0"/>
          <w:smallCaps w:val="0"/>
          <w:noProof w:val="0"/>
          <w:color w:val="000000" w:themeColor="text1" w:themeTint="FF" w:themeShade="FF"/>
          <w:sz w:val="18"/>
          <w:szCs w:val="18"/>
          <w:lang w:val="fr-FR"/>
        </w:rPr>
        <w:t xml:space="preserve">.    </w:t>
      </w:r>
    </w:p>
    <w:p w:rsidR="399FB433" w:rsidP="1BAD6F2B" w:rsidRDefault="399FB433" w14:paraId="64D359FF" w14:textId="0E346E80">
      <w:pPr>
        <w:widowControl w:val="0"/>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1BAD6F2B" w:rsidR="399FB433">
        <w:rPr>
          <w:rFonts w:ascii="Arial" w:hAnsi="Arial" w:eastAsia="Arial" w:cs="Arial"/>
          <w:b w:val="1"/>
          <w:bCs w:val="1"/>
          <w:i w:val="0"/>
          <w:iCs w:val="0"/>
          <w:caps w:val="0"/>
          <w:smallCaps w:val="0"/>
          <w:noProof w:val="0"/>
          <w:color w:val="000000" w:themeColor="text1" w:themeTint="FF" w:themeShade="FF"/>
          <w:sz w:val="18"/>
          <w:szCs w:val="18"/>
          <w:lang w:val="fr-FR"/>
        </w:rPr>
        <w:t xml:space="preserve">À propos de l'OEB </w:t>
      </w:r>
    </w:p>
    <w:p w:rsidR="399FB433" w:rsidP="1BAD6F2B" w:rsidRDefault="399FB433" w14:paraId="49CBEE59" w14:textId="056215A6">
      <w:pPr>
        <w:widowControl w:val="0"/>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1BAD6F2B" w:rsidR="399FB433">
        <w:rPr>
          <w:rFonts w:ascii="Arial" w:hAnsi="Arial" w:eastAsia="Arial" w:cs="Arial"/>
          <w:b w:val="0"/>
          <w:bCs w:val="0"/>
          <w:i w:val="0"/>
          <w:iCs w:val="0"/>
          <w:caps w:val="0"/>
          <w:smallCaps w:val="0"/>
          <w:noProof w:val="0"/>
          <w:color w:val="000000" w:themeColor="text1" w:themeTint="FF" w:themeShade="FF"/>
          <w:sz w:val="18"/>
          <w:szCs w:val="18"/>
          <w:lang w:val="fr-FR"/>
        </w:rPr>
        <w:t xml:space="preserve">Fort d'un effectif de 6 300 personnes, </w:t>
      </w:r>
      <w:hyperlink r:id="R7db3042705284358">
        <w:r w:rsidRPr="1BAD6F2B" w:rsidR="399FB433">
          <w:rPr>
            <w:rStyle w:val="Hyperlink"/>
            <w:rFonts w:ascii="Arial" w:hAnsi="Arial" w:eastAsia="Arial" w:cs="Arial"/>
            <w:b w:val="0"/>
            <w:bCs w:val="0"/>
            <w:i w:val="0"/>
            <w:iCs w:val="0"/>
            <w:caps w:val="0"/>
            <w:smallCaps w:val="0"/>
            <w:strike w:val="0"/>
            <w:dstrike w:val="0"/>
            <w:noProof w:val="0"/>
            <w:sz w:val="18"/>
            <w:szCs w:val="18"/>
            <w:lang w:val="fr-FR"/>
          </w:rPr>
          <w:t>l'Office européen des brevets (OEB)</w:t>
        </w:r>
      </w:hyperlink>
      <w:r w:rsidRPr="1BAD6F2B" w:rsidR="399FB433">
        <w:rPr>
          <w:rFonts w:ascii="Arial" w:hAnsi="Arial" w:eastAsia="Arial" w:cs="Arial"/>
          <w:b w:val="0"/>
          <w:bCs w:val="0"/>
          <w:i w:val="0"/>
          <w:iCs w:val="0"/>
          <w:caps w:val="0"/>
          <w:smallCaps w:val="0"/>
          <w:noProof w:val="0"/>
          <w:color w:val="000000" w:themeColor="text1" w:themeTint="FF" w:themeShade="FF"/>
          <w:sz w:val="18"/>
          <w:szCs w:val="18"/>
          <w:lang w:val="fr-FR"/>
        </w:rPr>
        <w:t xml:space="preserve"> est l'une des plus grandes institutions de service public en Europe. Son siège est à Munich et il dispose de bureaux à Berlin, Bruxelles, La Haye et Vienne. L'OEB a été créé dans l'objectif de renforcer la coopération en matière de brevets en Europe. Grâce à la procédure centralisée de délivrance des brevets de l'OEB, les inventeurs peuvent obtenir une protection par brevet de haute qualité dans jusqu'à 45 pays, couvrant un marché de quelque 700 millions de personnes. L'OEB est également la référence mondiale en matière d'information brevets et de recherche de brevets.</w:t>
      </w:r>
    </w:p>
    <w:p w:rsidR="00B932EA" w:rsidP="585C7251" w:rsidRDefault="00B932EA" w14:paraId="0000001F" w14:textId="77777777">
      <w:pPr>
        <w:pStyle w:val="LO-normal"/>
        <w:widowControl w:val="0"/>
        <w:tabs>
          <w:tab w:val="left" w:pos="939"/>
        </w:tabs>
        <w:spacing w:before="3" w:line="240" w:lineRule="auto"/>
        <w:ind w:left="939"/>
        <w:rPr>
          <w:lang w:val="en-GB"/>
        </w:rPr>
      </w:pPr>
    </w:p>
    <w:sectPr w:rsidR="00B932EA">
      <w:pgSz w:w="11906" w:h="16838" w:orient="portrait"/>
      <w:pgMar w:top="1440" w:right="1440" w:bottom="1440" w:left="1440" w:header="0" w:footer="0" w:gutter="0"/>
      <w:pgNumType w:start="1"/>
      <w:cols w:space="720"/>
      <w:headerReference w:type="default" r:id="Rc0c17d3c195e4615"/>
      <w:footerReference w:type="default" r:id="R1eed125eb38a44e8"/>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60B1AD93-8E86-4232-ACDE-F5F86EACC27A}" r:id="rId1"/>
    <w:embedItalic w:fontKey="{C4A1B6A0-EEF5-42CA-9051-0E88BA561D11}" r:id="rId2"/>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1"/>
    <w:family w:val="roman"/>
    <w:pitch w:val="variable"/>
    <w:sig w:usb0="0000A003" w:usb1="00000000" w:usb2="00000000" w:usb3="00000000" w:csb0="00000001" w:csb1="00000000"/>
    <w:embedRegular w:fontKey="{923E542A-D3D7-4B00-8B74-6A937C36E01A}" r:id="rId3"/>
    <w:embedBold w:fontKey="{57EF98E8-7F02-4D0C-93BC-C4C9AE6E9C99}" r:id="rId4"/>
    <w:embedItalic w:fontKey="{84E2193A-82B4-4960-BD29-EA2D12378AEA}" r:id="rId5"/>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charset w:val="4D"/>
    <w:family w:val="swiss"/>
    <w:pitch w:val="variable"/>
    <w:sig w:usb0="00000003" w:usb1="00000000" w:usb2="00000000" w:usb3="00000000" w:csb0="00000001" w:csb1="00000000"/>
    <w:embedRegular w:fontKey="{FC724C63-C83D-4096-98D4-928E2602D520}" r:id="rId6"/>
    <w:embedItalic w:fontKey="{024BB560-5D03-45C5-AE44-40EBB06F6B2A}" r:id="rId7"/>
  </w:font>
  <w:font w:name="Segoe UI">
    <w:panose1 w:val="020B0502040204020203"/>
    <w:charset w:val="00"/>
    <w:family w:val="swiss"/>
    <w:pitch w:val="variable"/>
    <w:sig w:usb0="E4002EFF" w:usb1="C000E47F" w:usb2="00000009" w:usb3="00000000" w:csb0="000001FF" w:csb1="00000000"/>
    <w:embedRegular w:fontKey="{FE268A6F-DDC3-46A3-A0D0-E55CD654FBE6}" r:id="rId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B777B9B6-FDC3-4D1D-ABB0-6C82FED31E72}" r:id="rId9"/>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028FACFB" w:rsidTr="028FACFB" w14:paraId="5C88A802">
      <w:trPr>
        <w:trHeight w:val="300"/>
      </w:trPr>
      <w:tc>
        <w:tcPr>
          <w:tcW w:w="3005" w:type="dxa"/>
          <w:tcMar/>
        </w:tcPr>
        <w:p w:rsidR="028FACFB" w:rsidP="028FACFB" w:rsidRDefault="028FACFB" w14:paraId="028B2779" w14:textId="1047A19D">
          <w:pPr>
            <w:pStyle w:val="Header"/>
            <w:bidi w:val="0"/>
            <w:ind w:left="-115"/>
            <w:jc w:val="left"/>
          </w:pPr>
        </w:p>
      </w:tc>
      <w:tc>
        <w:tcPr>
          <w:tcW w:w="3005" w:type="dxa"/>
          <w:tcMar/>
        </w:tcPr>
        <w:p w:rsidR="028FACFB" w:rsidP="028FACFB" w:rsidRDefault="028FACFB" w14:paraId="1E3889FE" w14:textId="27349F94">
          <w:pPr>
            <w:pStyle w:val="Header"/>
            <w:bidi w:val="0"/>
            <w:jc w:val="center"/>
          </w:pPr>
        </w:p>
      </w:tc>
      <w:tc>
        <w:tcPr>
          <w:tcW w:w="3005" w:type="dxa"/>
          <w:tcMar/>
        </w:tcPr>
        <w:p w:rsidR="028FACFB" w:rsidP="028FACFB" w:rsidRDefault="028FACFB" w14:paraId="11C6526D" w14:textId="4C0951BB">
          <w:pPr>
            <w:pStyle w:val="Header"/>
            <w:bidi w:val="0"/>
            <w:ind w:right="-115"/>
            <w:jc w:val="right"/>
          </w:pPr>
        </w:p>
      </w:tc>
    </w:tr>
  </w:tbl>
  <w:p w:rsidR="028FACFB" w:rsidP="028FACFB" w:rsidRDefault="028FACFB" w14:paraId="3B4F3AB0" w14:textId="584E7687">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p w:rsidR="028FACFB" w:rsidRDefault="028FACFB" w14:paraId="225A3CE6" w14:textId="5134CC1A"/>
  <w:tbl>
    <w:tblPr>
      <w:tblStyle w:val="TableNormal"/>
      <w:bidiVisual w:val="0"/>
      <w:tblW w:w="0" w:type="auto"/>
      <w:tblLayout w:type="fixed"/>
      <w:tblLook w:val="06A0" w:firstRow="1" w:lastRow="0" w:firstColumn="1" w:lastColumn="0" w:noHBand="1" w:noVBand="1"/>
    </w:tblPr>
    <w:tblGrid>
      <w:gridCol w:w="3005"/>
      <w:gridCol w:w="3005"/>
      <w:gridCol w:w="3005"/>
    </w:tblGrid>
    <w:tr w:rsidR="028FACFB" w:rsidTr="028FACFB" w14:paraId="463BA295">
      <w:trPr>
        <w:trHeight w:val="300"/>
      </w:trPr>
      <w:tc>
        <w:tcPr>
          <w:tcW w:w="3005" w:type="dxa"/>
          <w:tcMar/>
        </w:tcPr>
        <w:p w:rsidR="028FACFB" w:rsidP="028FACFB" w:rsidRDefault="028FACFB" w14:paraId="23DD4D7D" w14:textId="5BF5CF01">
          <w:pPr>
            <w:pStyle w:val="Header"/>
            <w:bidi w:val="0"/>
            <w:ind w:left="-115"/>
            <w:jc w:val="left"/>
          </w:pPr>
          <w:r w:rsidR="028FACFB">
            <w:drawing>
              <wp:inline wp14:editId="56AC1E9D" wp14:anchorId="1AF14F74">
                <wp:extent cx="1485900" cy="742950"/>
                <wp:effectExtent l="0" t="0" r="0" b="0"/>
                <wp:docPr id="38823997" name="" descr="Logo European Patent Office" title=""/>
                <wp:cNvGraphicFramePr>
                  <a:graphicFrameLocks noChangeAspect="1"/>
                </wp:cNvGraphicFramePr>
                <a:graphic>
                  <a:graphicData uri="http://schemas.openxmlformats.org/drawingml/2006/picture">
                    <pic:pic>
                      <pic:nvPicPr>
                        <pic:cNvPr id="0" name=""/>
                        <pic:cNvPicPr/>
                      </pic:nvPicPr>
                      <pic:blipFill>
                        <a:blip r:embed="R96f568756f554f3f">
                          <a:extLst>
                            <a:ext xmlns:a="http://schemas.openxmlformats.org/drawingml/2006/main" uri="{28A0092B-C50C-407E-A947-70E740481C1C}">
                              <a14:useLocalDpi val="0"/>
                            </a:ext>
                          </a:extLst>
                        </a:blip>
                        <a:stretch>
                          <a:fillRect/>
                        </a:stretch>
                      </pic:blipFill>
                      <pic:spPr>
                        <a:xfrm>
                          <a:off x="0" y="0"/>
                          <a:ext cx="1485900" cy="742950"/>
                        </a:xfrm>
                        <a:prstGeom prst="rect">
                          <a:avLst/>
                        </a:prstGeom>
                      </pic:spPr>
                    </pic:pic>
                  </a:graphicData>
                </a:graphic>
              </wp:inline>
            </w:drawing>
          </w:r>
        </w:p>
      </w:tc>
      <w:tc>
        <w:tcPr>
          <w:tcW w:w="3005" w:type="dxa"/>
          <w:tcMar/>
        </w:tcPr>
        <w:p w:rsidR="028FACFB" w:rsidP="028FACFB" w:rsidRDefault="028FACFB" w14:paraId="43B60A35" w14:textId="6B5E9009">
          <w:pPr>
            <w:pStyle w:val="Header"/>
            <w:bidi w:val="0"/>
            <w:jc w:val="center"/>
          </w:pPr>
        </w:p>
      </w:tc>
      <w:tc>
        <w:tcPr>
          <w:tcW w:w="3005" w:type="dxa"/>
          <w:tcMar/>
        </w:tcPr>
        <w:p w:rsidR="028FACFB" w:rsidP="028FACFB" w:rsidRDefault="028FACFB" w14:paraId="08266224" w14:textId="78FD64AB">
          <w:pPr>
            <w:pStyle w:val="Header"/>
            <w:bidi w:val="0"/>
            <w:ind w:right="-115"/>
            <w:jc w:val="right"/>
          </w:pPr>
          <w:r w:rsidR="028FACFB">
            <w:drawing>
              <wp:inline wp14:editId="1201D619" wp14:anchorId="1970E9A3">
                <wp:extent cx="1733550" cy="638175"/>
                <wp:effectExtent l="0" t="0" r="0" b="0"/>
                <wp:docPr id="91312122" name="" title=""/>
                <wp:cNvGraphicFramePr>
                  <a:graphicFrameLocks noChangeAspect="1"/>
                </wp:cNvGraphicFramePr>
                <a:graphic>
                  <a:graphicData uri="http://schemas.openxmlformats.org/drawingml/2006/picture">
                    <pic:pic>
                      <pic:nvPicPr>
                        <pic:cNvPr id="0" name=""/>
                        <pic:cNvPicPr/>
                      </pic:nvPicPr>
                      <pic:blipFill>
                        <a:blip r:embed="R316ba6918e804796">
                          <a:extLst>
                            <a:ext xmlns:a="http://schemas.openxmlformats.org/drawingml/2006/main" uri="{28A0092B-C50C-407E-A947-70E740481C1C}">
                              <a14:useLocalDpi val="0"/>
                            </a:ext>
                          </a:extLst>
                        </a:blip>
                        <a:stretch>
                          <a:fillRect/>
                        </a:stretch>
                      </pic:blipFill>
                      <pic:spPr>
                        <a:xfrm>
                          <a:off x="0" y="0"/>
                          <a:ext cx="1733550" cy="638175"/>
                        </a:xfrm>
                        <a:prstGeom prst="rect">
                          <a:avLst/>
                        </a:prstGeom>
                      </pic:spPr>
                    </pic:pic>
                  </a:graphicData>
                </a:graphic>
              </wp:inline>
            </w:drawing>
          </w:r>
        </w:p>
      </w:tc>
    </w:tr>
  </w:tbl>
  <w:p w:rsidR="028FACFB" w:rsidP="028FACFB" w:rsidRDefault="028FACFB" w14:paraId="5977BD19" w14:textId="3FD86D22">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0F0FDF"/>
    <w:multiLevelType w:val="multilevel"/>
    <w:tmpl w:val="F6EEC3AE"/>
    <w:lvl w:ilvl="0">
      <w:start w:val="1"/>
      <w:numFmt w:val="bullet"/>
      <w:lvlRestart w:val="0"/>
      <w:pStyle w:val="EPOBullet1stlevel"/>
      <w:lvlText w:val="§"/>
      <w:lvlJc w:val="left"/>
      <w:pPr>
        <w:tabs>
          <w:tab w:val="num" w:pos="1134"/>
        </w:tabs>
        <w:ind w:left="1134" w:hanging="567"/>
      </w:pPr>
      <w:rPr>
        <w:rFonts w:hint="default" w:ascii="Wingdings" w:hAnsi="Wingdings" w:cs="Arial"/>
      </w:rPr>
    </w:lvl>
    <w:lvl w:ilvl="1">
      <w:start w:val="1"/>
      <w:numFmt w:val="bullet"/>
      <w:lvlText w:val="§"/>
      <w:lvlJc w:val="left"/>
      <w:pPr>
        <w:tabs>
          <w:tab w:val="num" w:pos="1701"/>
        </w:tabs>
        <w:ind w:left="1701" w:hanging="567"/>
      </w:pPr>
      <w:rPr>
        <w:rFonts w:hint="default" w:ascii="Wingdings" w:hAnsi="Wingdings" w:cs="Arial"/>
      </w:rPr>
    </w:lvl>
    <w:lvl w:ilvl="2">
      <w:start w:val="1"/>
      <w:numFmt w:val="bullet"/>
      <w:lvlText w:val="§"/>
      <w:lvlJc w:val="left"/>
      <w:pPr>
        <w:tabs>
          <w:tab w:val="num" w:pos="2268"/>
        </w:tabs>
        <w:ind w:left="2268" w:hanging="567"/>
      </w:pPr>
      <w:rPr>
        <w:rFonts w:hint="default" w:ascii="Wingdings" w:hAnsi="Wingdings" w:cs="Arial"/>
      </w:rPr>
    </w:lvl>
    <w:lvl w:ilvl="3">
      <w:start w:val="1"/>
      <w:numFmt w:val="bullet"/>
      <w:lvlText w:val="§"/>
      <w:lvlJc w:val="left"/>
      <w:pPr>
        <w:tabs>
          <w:tab w:val="num" w:pos="2835"/>
        </w:tabs>
        <w:ind w:left="2835" w:hanging="567"/>
      </w:pPr>
      <w:rPr>
        <w:rFonts w:hint="default" w:ascii="Wingdings" w:hAnsi="Wingdings" w:cs="Arial"/>
      </w:rPr>
    </w:lvl>
    <w:lvl w:ilvl="4">
      <w:start w:val="1"/>
      <w:numFmt w:val="bullet"/>
      <w:lvlText w:val="§"/>
      <w:lvlJc w:val="left"/>
      <w:pPr>
        <w:tabs>
          <w:tab w:val="num" w:pos="3402"/>
        </w:tabs>
        <w:ind w:left="3402" w:hanging="567"/>
      </w:pPr>
      <w:rPr>
        <w:rFonts w:hint="default" w:ascii="Wingdings" w:hAnsi="Wingdings"/>
      </w:rPr>
    </w:lvl>
    <w:lvl w:ilvl="5">
      <w:start w:val="1"/>
      <w:numFmt w:val="bullet"/>
      <w:lvlText w:val="§"/>
      <w:lvlJc w:val="left"/>
      <w:pPr>
        <w:tabs>
          <w:tab w:val="num" w:pos="3969"/>
        </w:tabs>
        <w:ind w:left="3969" w:hanging="567"/>
      </w:pPr>
      <w:rPr>
        <w:rFonts w:hint="default" w:ascii="Wingdings" w:hAnsi="Wingdings"/>
      </w:rPr>
    </w:lvl>
    <w:lvl w:ilvl="6">
      <w:start w:val="1"/>
      <w:numFmt w:val="bullet"/>
      <w:lvlText w:val="§"/>
      <w:lvlJc w:val="left"/>
      <w:pPr>
        <w:tabs>
          <w:tab w:val="num" w:pos="4535"/>
        </w:tabs>
        <w:ind w:left="4535" w:hanging="566"/>
      </w:pPr>
      <w:rPr>
        <w:rFonts w:hint="default" w:ascii="Wingdings" w:hAnsi="Wingdings"/>
      </w:rPr>
    </w:lvl>
    <w:lvl w:ilvl="7">
      <w:start w:val="1"/>
      <w:numFmt w:val="bullet"/>
      <w:lvlText w:val="§"/>
      <w:lvlJc w:val="left"/>
      <w:pPr>
        <w:tabs>
          <w:tab w:val="num" w:pos="5102"/>
        </w:tabs>
        <w:ind w:left="5102" w:hanging="567"/>
      </w:pPr>
      <w:rPr>
        <w:rFonts w:hint="default" w:ascii="Wingdings" w:hAnsi="Wingdings"/>
      </w:rPr>
    </w:lvl>
    <w:lvl w:ilvl="8">
      <w:start w:val="1"/>
      <w:numFmt w:val="bullet"/>
      <w:lvlText w:val="§"/>
      <w:lvlJc w:val="left"/>
      <w:pPr>
        <w:tabs>
          <w:tab w:val="num" w:pos="5669"/>
        </w:tabs>
        <w:ind w:left="5669" w:hanging="567"/>
      </w:pPr>
      <w:rPr>
        <w:rFonts w:hint="default" w:ascii="Wingdings" w:hAnsi="Wingdings"/>
      </w:rPr>
    </w:lvl>
  </w:abstractNum>
  <w:abstractNum w:abstractNumId="1" w15:restartNumberingAfterBreak="0">
    <w:nsid w:val="24CA0CFF"/>
    <w:multiLevelType w:val="multilevel"/>
    <w:tmpl w:val="7C6EEA6E"/>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4CE3E8D"/>
    <w:multiLevelType w:val="multilevel"/>
    <w:tmpl w:val="A880E082"/>
    <w:lvl w:ilvl="0">
      <w:start w:val="1"/>
      <w:numFmt w:val="lowerLetter"/>
      <w:pStyle w:val="EPOList-letters"/>
      <w:lvlText w:val="%1."/>
      <w:lvlJc w:val="left"/>
      <w:pPr>
        <w:tabs>
          <w:tab w:val="num" w:pos="397"/>
        </w:tabs>
        <w:ind w:left="397" w:hanging="397"/>
      </w:pPr>
      <w:rPr>
        <w:rFonts w:ascii="Arial" w:hAnsi="Arial" w:cs="Arial"/>
      </w:rPr>
    </w:lvl>
    <w:lvl w:ilvl="1">
      <w:start w:val="1"/>
      <w:numFmt w:val="lowerLetter"/>
      <w:pStyle w:val="Heading2"/>
      <w:lvlText w:val="%2."/>
      <w:lvlJc w:val="left"/>
      <w:pPr>
        <w:tabs>
          <w:tab w:val="num" w:pos="964"/>
        </w:tabs>
        <w:ind w:left="964" w:hanging="397"/>
      </w:pPr>
      <w:rPr>
        <w:rFonts w:ascii="Arial" w:hAnsi="Arial" w:cs="Arial"/>
      </w:rPr>
    </w:lvl>
    <w:lvl w:ilvl="2">
      <w:start w:val="1"/>
      <w:numFmt w:val="lowerLetter"/>
      <w:pStyle w:val="Heading3"/>
      <w:lvlText w:val="%3."/>
      <w:lvlJc w:val="left"/>
      <w:pPr>
        <w:tabs>
          <w:tab w:val="num" w:pos="1531"/>
        </w:tabs>
        <w:ind w:left="1531" w:hanging="397"/>
      </w:pPr>
      <w:rPr>
        <w:rFonts w:ascii="Arial" w:hAnsi="Arial" w:cs="Arial"/>
      </w:rPr>
    </w:lvl>
    <w:lvl w:ilvl="3">
      <w:start w:val="1"/>
      <w:numFmt w:val="lowerLetter"/>
      <w:pStyle w:val="Heading4"/>
      <w:lvlText w:val="%4."/>
      <w:lvlJc w:val="left"/>
      <w:pPr>
        <w:tabs>
          <w:tab w:val="num" w:pos="2098"/>
        </w:tabs>
        <w:ind w:left="2098" w:hanging="397"/>
      </w:pPr>
      <w:rPr>
        <w:rFonts w:ascii="Arial" w:hAnsi="Arial" w:cs="Arial"/>
      </w:rPr>
    </w:lvl>
    <w:lvl w:ilvl="4">
      <w:start w:val="1"/>
      <w:numFmt w:val="lowerLetter"/>
      <w:pStyle w:val="Heading5"/>
      <w:lvlText w:val="%5."/>
      <w:lvlJc w:val="left"/>
      <w:pPr>
        <w:tabs>
          <w:tab w:val="num" w:pos="2665"/>
        </w:tabs>
        <w:ind w:left="2665" w:hanging="397"/>
      </w:pPr>
      <w:rPr>
        <w:rFonts w:ascii="Arial" w:hAnsi="Arial" w:cs="Arial"/>
      </w:rPr>
    </w:lvl>
    <w:lvl w:ilvl="5">
      <w:start w:val="1"/>
      <w:numFmt w:val="lowerLetter"/>
      <w:pStyle w:val="Heading6"/>
      <w:lvlText w:val="%6."/>
      <w:lvlJc w:val="left"/>
      <w:pPr>
        <w:tabs>
          <w:tab w:val="num" w:pos="3231"/>
        </w:tabs>
        <w:ind w:left="3231" w:hanging="396"/>
      </w:pPr>
      <w:rPr>
        <w:rFonts w:ascii="Arial" w:hAnsi="Arial" w:cs="Arial"/>
      </w:rPr>
    </w:lvl>
    <w:lvl w:ilvl="6">
      <w:start w:val="1"/>
      <w:numFmt w:val="lowerLetter"/>
      <w:pStyle w:val="Heading7"/>
      <w:lvlText w:val="%7."/>
      <w:lvlJc w:val="left"/>
      <w:pPr>
        <w:tabs>
          <w:tab w:val="num" w:pos="3798"/>
        </w:tabs>
        <w:ind w:left="3798" w:hanging="396"/>
      </w:pPr>
      <w:rPr>
        <w:rFonts w:ascii="Arial" w:hAnsi="Arial" w:cs="Arial"/>
      </w:rPr>
    </w:lvl>
    <w:lvl w:ilvl="7">
      <w:start w:val="1"/>
      <w:numFmt w:val="lowerLetter"/>
      <w:pStyle w:val="Heading8"/>
      <w:lvlText w:val="%8."/>
      <w:lvlJc w:val="left"/>
      <w:pPr>
        <w:tabs>
          <w:tab w:val="num" w:pos="4365"/>
        </w:tabs>
        <w:ind w:left="4365" w:hanging="396"/>
      </w:pPr>
      <w:rPr>
        <w:rFonts w:ascii="Arial" w:hAnsi="Arial" w:cs="Arial"/>
      </w:rPr>
    </w:lvl>
    <w:lvl w:ilvl="8">
      <w:start w:val="1"/>
      <w:numFmt w:val="lowerLetter"/>
      <w:pStyle w:val="Heading9"/>
      <w:lvlText w:val="%9."/>
      <w:lvlJc w:val="left"/>
      <w:pPr>
        <w:tabs>
          <w:tab w:val="num" w:pos="4932"/>
        </w:tabs>
        <w:ind w:left="4932" w:hanging="397"/>
      </w:pPr>
      <w:rPr>
        <w:rFonts w:ascii="Arial" w:hAnsi="Arial" w:cs="Arial"/>
      </w:rPr>
    </w:lvl>
  </w:abstractNum>
  <w:abstractNum w:abstractNumId="3" w15:restartNumberingAfterBreak="0">
    <w:nsid w:val="274072E5"/>
    <w:multiLevelType w:val="multilevel"/>
    <w:tmpl w:val="884C59FE"/>
    <w:lvl w:ilvl="0">
      <w:start w:val="1"/>
      <w:numFmt w:val="bullet"/>
      <w:pStyle w:val="EPOBullet2ndlevel"/>
      <w:lvlText w:val="-"/>
      <w:lvlJc w:val="left"/>
      <w:pPr>
        <w:tabs>
          <w:tab w:val="num" w:pos="1701"/>
        </w:tabs>
        <w:ind w:left="1701" w:hanging="567"/>
      </w:pPr>
      <w:rPr>
        <w:rFonts w:hint="default" w:ascii="Symbol" w:hAnsi="Symbol"/>
      </w:rPr>
    </w:lvl>
    <w:lvl w:ilvl="1">
      <w:start w:val="1"/>
      <w:numFmt w:val="bullet"/>
      <w:lvlText w:val="-"/>
      <w:lvlJc w:val="left"/>
      <w:pPr>
        <w:tabs>
          <w:tab w:val="num" w:pos="2268"/>
        </w:tabs>
        <w:ind w:left="2268" w:hanging="567"/>
      </w:pPr>
      <w:rPr>
        <w:rFonts w:hint="default" w:ascii="Symbol" w:hAnsi="Symbol"/>
      </w:rPr>
    </w:lvl>
    <w:lvl w:ilvl="2">
      <w:start w:val="1"/>
      <w:numFmt w:val="bullet"/>
      <w:lvlText w:val="-"/>
      <w:lvlJc w:val="left"/>
      <w:pPr>
        <w:tabs>
          <w:tab w:val="num" w:pos="2835"/>
        </w:tabs>
        <w:ind w:left="2835" w:hanging="567"/>
      </w:pPr>
      <w:rPr>
        <w:rFonts w:hint="default" w:ascii="Symbol" w:hAnsi="Symbol"/>
      </w:rPr>
    </w:lvl>
    <w:lvl w:ilvl="3">
      <w:start w:val="1"/>
      <w:numFmt w:val="bullet"/>
      <w:lvlText w:val="-"/>
      <w:lvlJc w:val="left"/>
      <w:pPr>
        <w:tabs>
          <w:tab w:val="num" w:pos="3402"/>
        </w:tabs>
        <w:ind w:left="3402" w:hanging="567"/>
      </w:pPr>
      <w:rPr>
        <w:rFonts w:hint="default" w:ascii="Symbol" w:hAnsi="Symbol"/>
      </w:rPr>
    </w:lvl>
    <w:lvl w:ilvl="4">
      <w:start w:val="1"/>
      <w:numFmt w:val="bullet"/>
      <w:lvlText w:val="-"/>
      <w:lvlJc w:val="left"/>
      <w:pPr>
        <w:tabs>
          <w:tab w:val="num" w:pos="3969"/>
        </w:tabs>
        <w:ind w:left="3969" w:hanging="567"/>
      </w:pPr>
      <w:rPr>
        <w:rFonts w:hint="default" w:ascii="Symbol" w:hAnsi="Symbol"/>
      </w:rPr>
    </w:lvl>
    <w:lvl w:ilvl="5">
      <w:start w:val="1"/>
      <w:numFmt w:val="bullet"/>
      <w:lvlText w:val="-"/>
      <w:lvlJc w:val="left"/>
      <w:pPr>
        <w:tabs>
          <w:tab w:val="num" w:pos="4535"/>
        </w:tabs>
        <w:ind w:left="4535" w:hanging="566"/>
      </w:pPr>
      <w:rPr>
        <w:rFonts w:hint="default" w:ascii="Symbol" w:hAnsi="Symbol"/>
      </w:rPr>
    </w:lvl>
    <w:lvl w:ilvl="6">
      <w:start w:val="1"/>
      <w:numFmt w:val="bullet"/>
      <w:lvlText w:val="-"/>
      <w:lvlJc w:val="left"/>
      <w:pPr>
        <w:tabs>
          <w:tab w:val="num" w:pos="5102"/>
        </w:tabs>
        <w:ind w:left="5102" w:hanging="567"/>
      </w:pPr>
      <w:rPr>
        <w:rFonts w:hint="default" w:ascii="Symbol" w:hAnsi="Symbol"/>
      </w:rPr>
    </w:lvl>
    <w:lvl w:ilvl="7">
      <w:start w:val="1"/>
      <w:numFmt w:val="bullet"/>
      <w:lvlText w:val="-"/>
      <w:lvlJc w:val="left"/>
      <w:pPr>
        <w:tabs>
          <w:tab w:val="num" w:pos="5669"/>
        </w:tabs>
        <w:ind w:left="5669" w:hanging="567"/>
      </w:pPr>
      <w:rPr>
        <w:rFonts w:hint="default" w:ascii="Symbol" w:hAnsi="Symbol"/>
      </w:rPr>
    </w:lvl>
    <w:lvl w:ilvl="8">
      <w:start w:val="1"/>
      <w:numFmt w:val="bullet"/>
      <w:lvlText w:val="-"/>
      <w:lvlJc w:val="left"/>
      <w:pPr>
        <w:tabs>
          <w:tab w:val="num" w:pos="6236"/>
        </w:tabs>
        <w:ind w:left="6236" w:hanging="567"/>
      </w:pPr>
      <w:rPr>
        <w:rFonts w:hint="default" w:ascii="Symbol" w:hAnsi="Symbol"/>
      </w:rPr>
    </w:lvl>
  </w:abstractNum>
  <w:abstractNum w:abstractNumId="4" w15:restartNumberingAfterBreak="0">
    <w:nsid w:val="4576783D"/>
    <w:multiLevelType w:val="multilevel"/>
    <w:tmpl w:val="06D2272C"/>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C4F0C14"/>
    <w:multiLevelType w:val="hybridMultilevel"/>
    <w:tmpl w:val="FFFFFFFF"/>
    <w:lvl w:ilvl="0" w:tplc="7E3C5B72">
      <w:start w:val="1"/>
      <w:numFmt w:val="bullet"/>
      <w:lvlText w:val="●"/>
      <w:lvlJc w:val="left"/>
      <w:pPr>
        <w:ind w:left="720" w:hanging="360"/>
      </w:pPr>
      <w:rPr>
        <w:rFonts w:hint="default" w:ascii="Noto Sans Symbols" w:hAnsi="Noto Sans Symbols"/>
      </w:rPr>
    </w:lvl>
    <w:lvl w:ilvl="1" w:tplc="8D7A1C38">
      <w:start w:val="1"/>
      <w:numFmt w:val="bullet"/>
      <w:lvlText w:val="o"/>
      <w:lvlJc w:val="left"/>
      <w:pPr>
        <w:ind w:left="1440" w:hanging="360"/>
      </w:pPr>
      <w:rPr>
        <w:rFonts w:hint="default" w:ascii="Courier New" w:hAnsi="Courier New"/>
      </w:rPr>
    </w:lvl>
    <w:lvl w:ilvl="2" w:tplc="E744C1A4">
      <w:start w:val="1"/>
      <w:numFmt w:val="bullet"/>
      <w:lvlText w:val="▪"/>
      <w:lvlJc w:val="left"/>
      <w:pPr>
        <w:ind w:left="2160" w:hanging="360"/>
      </w:pPr>
      <w:rPr>
        <w:rFonts w:hint="default" w:ascii="Noto Sans Symbols" w:hAnsi="Noto Sans Symbols"/>
      </w:rPr>
    </w:lvl>
    <w:lvl w:ilvl="3" w:tplc="6860BCDE">
      <w:start w:val="1"/>
      <w:numFmt w:val="bullet"/>
      <w:lvlText w:val="●"/>
      <w:lvlJc w:val="left"/>
      <w:pPr>
        <w:ind w:left="2880" w:hanging="360"/>
      </w:pPr>
      <w:rPr>
        <w:rFonts w:hint="default" w:ascii="Noto Sans Symbols" w:hAnsi="Noto Sans Symbols"/>
      </w:rPr>
    </w:lvl>
    <w:lvl w:ilvl="4" w:tplc="2A4882D8">
      <w:start w:val="1"/>
      <w:numFmt w:val="bullet"/>
      <w:lvlText w:val="o"/>
      <w:lvlJc w:val="left"/>
      <w:pPr>
        <w:ind w:left="3600" w:hanging="360"/>
      </w:pPr>
      <w:rPr>
        <w:rFonts w:hint="default" w:ascii="Courier New" w:hAnsi="Courier New"/>
      </w:rPr>
    </w:lvl>
    <w:lvl w:ilvl="5" w:tplc="068A593C">
      <w:start w:val="1"/>
      <w:numFmt w:val="bullet"/>
      <w:lvlText w:val="▪"/>
      <w:lvlJc w:val="left"/>
      <w:pPr>
        <w:ind w:left="4320" w:hanging="360"/>
      </w:pPr>
      <w:rPr>
        <w:rFonts w:hint="default" w:ascii="Noto Sans Symbols" w:hAnsi="Noto Sans Symbols"/>
      </w:rPr>
    </w:lvl>
    <w:lvl w:ilvl="6" w:tplc="AE1E3BF2">
      <w:start w:val="1"/>
      <w:numFmt w:val="bullet"/>
      <w:lvlText w:val="●"/>
      <w:lvlJc w:val="left"/>
      <w:pPr>
        <w:ind w:left="5040" w:hanging="360"/>
      </w:pPr>
      <w:rPr>
        <w:rFonts w:hint="default" w:ascii="Noto Sans Symbols" w:hAnsi="Noto Sans Symbols"/>
      </w:rPr>
    </w:lvl>
    <w:lvl w:ilvl="7" w:tplc="0E9E0B1C">
      <w:start w:val="1"/>
      <w:numFmt w:val="bullet"/>
      <w:lvlText w:val="o"/>
      <w:lvlJc w:val="left"/>
      <w:pPr>
        <w:ind w:left="5760" w:hanging="360"/>
      </w:pPr>
      <w:rPr>
        <w:rFonts w:hint="default" w:ascii="Courier New" w:hAnsi="Courier New"/>
      </w:rPr>
    </w:lvl>
    <w:lvl w:ilvl="8" w:tplc="70F4D6C0">
      <w:start w:val="1"/>
      <w:numFmt w:val="bullet"/>
      <w:lvlText w:val="▪"/>
      <w:lvlJc w:val="left"/>
      <w:pPr>
        <w:ind w:left="6480" w:hanging="360"/>
      </w:pPr>
      <w:rPr>
        <w:rFonts w:hint="default" w:ascii="Noto Sans Symbols" w:hAnsi="Noto Sans Symbols"/>
      </w:rPr>
    </w:lvl>
  </w:abstractNum>
  <w:abstractNum w:abstractNumId="6" w15:restartNumberingAfterBreak="0">
    <w:nsid w:val="675D347D"/>
    <w:multiLevelType w:val="multilevel"/>
    <w:tmpl w:val="39528292"/>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tabs>
          <w:tab w:val="num" w:pos="794"/>
        </w:tabs>
        <w:ind w:left="794" w:hanging="794"/>
      </w:pPr>
      <w:rPr>
        <w:rFonts w:ascii="Arial"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7F57692"/>
    <w:multiLevelType w:val="multilevel"/>
    <w:tmpl w:val="360CCC62"/>
    <w:lvl w:ilvl="0">
      <w:start w:val="1"/>
      <w:numFmt w:val="decimal"/>
      <w:pStyle w:val="EPOAnnex"/>
      <w:lvlText w:val="Annex %1"/>
      <w:lvlJc w:val="left"/>
      <w:pPr>
        <w:tabs>
          <w:tab w:val="num" w:pos="567"/>
        </w:tabs>
        <w:ind w:left="567" w:hanging="567"/>
      </w:pPr>
      <w:rPr>
        <w:rFonts w:ascii="Arial" w:hAnsi="Arial" w:cs="Arial"/>
      </w:rPr>
    </w:lvl>
    <w:lvl w:ilvl="1">
      <w:start w:val="1"/>
      <w:numFmt w:val="decimal"/>
      <w:lvlText w:val="Annex %2"/>
      <w:lvlJc w:val="left"/>
      <w:pPr>
        <w:tabs>
          <w:tab w:val="num" w:pos="1134"/>
        </w:tabs>
        <w:ind w:left="1134" w:hanging="567"/>
      </w:pPr>
      <w:rPr>
        <w:rFonts w:ascii="Arial" w:hAnsi="Arial" w:cs="Arial"/>
      </w:rPr>
    </w:lvl>
    <w:lvl w:ilvl="2">
      <w:start w:val="1"/>
      <w:numFmt w:val="decimal"/>
      <w:lvlText w:val="Annex %3"/>
      <w:lvlJc w:val="left"/>
      <w:pPr>
        <w:tabs>
          <w:tab w:val="num" w:pos="1701"/>
        </w:tabs>
        <w:ind w:left="1701" w:hanging="567"/>
      </w:pPr>
      <w:rPr>
        <w:rFonts w:ascii="Arial" w:hAnsi="Arial" w:cs="Arial"/>
      </w:rPr>
    </w:lvl>
    <w:lvl w:ilvl="3">
      <w:start w:val="1"/>
      <w:numFmt w:val="decimal"/>
      <w:lvlText w:val="Annex %4"/>
      <w:lvlJc w:val="left"/>
      <w:pPr>
        <w:tabs>
          <w:tab w:val="num" w:pos="2268"/>
        </w:tabs>
        <w:ind w:left="2268" w:hanging="567"/>
      </w:pPr>
      <w:rPr>
        <w:rFonts w:ascii="Arial" w:hAnsi="Arial" w:cs="Arial"/>
      </w:rPr>
    </w:lvl>
    <w:lvl w:ilvl="4">
      <w:start w:val="1"/>
      <w:numFmt w:val="decimal"/>
      <w:lvlText w:val="Annex %5"/>
      <w:lvlJc w:val="left"/>
      <w:pPr>
        <w:tabs>
          <w:tab w:val="num" w:pos="2835"/>
        </w:tabs>
        <w:ind w:left="2835" w:hanging="567"/>
      </w:pPr>
      <w:rPr>
        <w:rFonts w:ascii="Arial" w:hAnsi="Arial" w:cs="Arial"/>
      </w:rPr>
    </w:lvl>
    <w:lvl w:ilvl="5">
      <w:start w:val="1"/>
      <w:numFmt w:val="decimal"/>
      <w:lvlText w:val="Annex %6"/>
      <w:lvlJc w:val="left"/>
      <w:pPr>
        <w:tabs>
          <w:tab w:val="num" w:pos="3402"/>
        </w:tabs>
        <w:ind w:left="3402" w:hanging="567"/>
      </w:pPr>
      <w:rPr>
        <w:rFonts w:ascii="Arial" w:hAnsi="Arial" w:cs="Arial"/>
      </w:rPr>
    </w:lvl>
    <w:lvl w:ilvl="6">
      <w:start w:val="1"/>
      <w:numFmt w:val="decimal"/>
      <w:lvlText w:val="Annex %7"/>
      <w:lvlJc w:val="left"/>
      <w:pPr>
        <w:tabs>
          <w:tab w:val="num" w:pos="3969"/>
        </w:tabs>
        <w:ind w:left="3969" w:hanging="567"/>
      </w:pPr>
      <w:rPr>
        <w:rFonts w:ascii="Arial" w:hAnsi="Arial" w:cs="Arial"/>
      </w:rPr>
    </w:lvl>
    <w:lvl w:ilvl="7">
      <w:start w:val="1"/>
      <w:numFmt w:val="decimal"/>
      <w:lvlText w:val="Annex %8"/>
      <w:lvlJc w:val="left"/>
      <w:pPr>
        <w:tabs>
          <w:tab w:val="num" w:pos="4535"/>
        </w:tabs>
        <w:ind w:left="4535" w:hanging="566"/>
      </w:pPr>
      <w:rPr>
        <w:rFonts w:ascii="Arial" w:hAnsi="Arial" w:cs="Arial"/>
      </w:rPr>
    </w:lvl>
    <w:lvl w:ilvl="8">
      <w:start w:val="1"/>
      <w:numFmt w:val="decimal"/>
      <w:lvlText w:val="Annex %9"/>
      <w:lvlJc w:val="left"/>
      <w:pPr>
        <w:tabs>
          <w:tab w:val="num" w:pos="5102"/>
        </w:tabs>
        <w:ind w:left="5102" w:hanging="567"/>
      </w:pPr>
      <w:rPr>
        <w:rFonts w:ascii="Arial" w:hAnsi="Arial" w:cs="Arial"/>
      </w:rPr>
    </w:lvl>
  </w:abstractNum>
  <w:abstractNum w:abstractNumId="8" w15:restartNumberingAfterBreak="0">
    <w:nsid w:val="6F7E0B7A"/>
    <w:multiLevelType w:val="multilevel"/>
    <w:tmpl w:val="463603A4"/>
    <w:lvl w:ilvl="0">
      <w:start w:val="1"/>
      <w:numFmt w:val="decimal"/>
      <w:pStyle w:val="EPOList-numbers"/>
      <w:lvlText w:val="%1."/>
      <w:lvlJc w:val="left"/>
      <w:pPr>
        <w:tabs>
          <w:tab w:val="num" w:pos="397"/>
        </w:tabs>
        <w:ind w:left="397" w:hanging="397"/>
      </w:pPr>
      <w:rPr>
        <w:rFonts w:ascii="Arial" w:hAnsi="Arial" w:cs="Arial"/>
      </w:rPr>
    </w:lvl>
    <w:lvl w:ilvl="1">
      <w:start w:val="1"/>
      <w:numFmt w:val="decimal"/>
      <w:lvlText w:val="%2."/>
      <w:lvlJc w:val="left"/>
      <w:pPr>
        <w:tabs>
          <w:tab w:val="num" w:pos="964"/>
        </w:tabs>
        <w:ind w:left="964" w:hanging="397"/>
      </w:pPr>
      <w:rPr>
        <w:rFonts w:ascii="Arial" w:hAnsi="Arial" w:cs="Arial"/>
      </w:rPr>
    </w:lvl>
    <w:lvl w:ilvl="2">
      <w:start w:val="1"/>
      <w:numFmt w:val="decimal"/>
      <w:lvlText w:val="%3."/>
      <w:lvlJc w:val="left"/>
      <w:pPr>
        <w:tabs>
          <w:tab w:val="num" w:pos="1531"/>
        </w:tabs>
        <w:ind w:left="1531" w:hanging="397"/>
      </w:pPr>
      <w:rPr>
        <w:rFonts w:ascii="Arial" w:hAnsi="Arial" w:cs="Arial"/>
      </w:rPr>
    </w:lvl>
    <w:lvl w:ilvl="3">
      <w:start w:val="1"/>
      <w:numFmt w:val="decimal"/>
      <w:lvlText w:val="%4."/>
      <w:lvlJc w:val="left"/>
      <w:pPr>
        <w:tabs>
          <w:tab w:val="num" w:pos="2098"/>
        </w:tabs>
        <w:ind w:left="2098" w:hanging="397"/>
      </w:pPr>
      <w:rPr>
        <w:rFonts w:ascii="Arial" w:hAnsi="Arial" w:cs="Arial"/>
      </w:rPr>
    </w:lvl>
    <w:lvl w:ilvl="4">
      <w:start w:val="1"/>
      <w:numFmt w:val="decimal"/>
      <w:lvlText w:val="%5."/>
      <w:lvlJc w:val="left"/>
      <w:pPr>
        <w:tabs>
          <w:tab w:val="num" w:pos="2665"/>
        </w:tabs>
        <w:ind w:left="2665" w:hanging="397"/>
      </w:pPr>
      <w:rPr>
        <w:rFonts w:ascii="Arial" w:hAnsi="Arial" w:cs="Arial"/>
      </w:rPr>
    </w:lvl>
    <w:lvl w:ilvl="5">
      <w:start w:val="1"/>
      <w:numFmt w:val="decimal"/>
      <w:lvlText w:val="%6."/>
      <w:lvlJc w:val="left"/>
      <w:pPr>
        <w:tabs>
          <w:tab w:val="num" w:pos="3231"/>
        </w:tabs>
        <w:ind w:left="3231" w:hanging="396"/>
      </w:pPr>
      <w:rPr>
        <w:rFonts w:ascii="Arial" w:hAnsi="Arial" w:cs="Arial"/>
      </w:rPr>
    </w:lvl>
    <w:lvl w:ilvl="6">
      <w:start w:val="1"/>
      <w:numFmt w:val="decimal"/>
      <w:lvlText w:val="%7."/>
      <w:lvlJc w:val="left"/>
      <w:pPr>
        <w:tabs>
          <w:tab w:val="num" w:pos="3798"/>
        </w:tabs>
        <w:ind w:left="3798" w:hanging="396"/>
      </w:pPr>
      <w:rPr>
        <w:rFonts w:ascii="Arial" w:hAnsi="Arial" w:cs="Arial"/>
      </w:rPr>
    </w:lvl>
    <w:lvl w:ilvl="7">
      <w:start w:val="1"/>
      <w:numFmt w:val="decimal"/>
      <w:lvlText w:val="%8."/>
      <w:lvlJc w:val="left"/>
      <w:pPr>
        <w:tabs>
          <w:tab w:val="num" w:pos="4365"/>
        </w:tabs>
        <w:ind w:left="4365" w:hanging="396"/>
      </w:pPr>
      <w:rPr>
        <w:rFonts w:ascii="Arial" w:hAnsi="Arial" w:cs="Arial"/>
      </w:rPr>
    </w:lvl>
    <w:lvl w:ilvl="8">
      <w:start w:val="1"/>
      <w:numFmt w:val="decimal"/>
      <w:lvlText w:val="%9."/>
      <w:lvlJc w:val="left"/>
      <w:pPr>
        <w:tabs>
          <w:tab w:val="num" w:pos="4932"/>
        </w:tabs>
        <w:ind w:left="4932" w:hanging="397"/>
      </w:pPr>
      <w:rPr>
        <w:rFonts w:ascii="Arial" w:hAnsi="Arial" w:cs="Arial"/>
      </w:rPr>
    </w:lvl>
  </w:abstractNum>
  <w:abstractNum w:abstractNumId="9" w15:restartNumberingAfterBreak="0">
    <w:nsid w:val="74731F66"/>
    <w:multiLevelType w:val="multilevel"/>
    <w:tmpl w:val="6A3AB30E"/>
    <w:lvl w:ilvl="0">
      <w:start w:val="1"/>
      <w:numFmt w:val="decimal"/>
      <w:lvlRestart w:val="0"/>
      <w:pStyle w:val="EPOHeading1"/>
      <w:lvlText w:val="%1."/>
      <w:lvlJc w:val="left"/>
      <w:pPr>
        <w:tabs>
          <w:tab w:val="num" w:pos="567"/>
        </w:tabs>
        <w:ind w:left="567" w:hanging="567"/>
      </w:pPr>
      <w:rPr>
        <w:rFonts w:ascii="Arial" w:hAnsi="Arial" w:cs="Arial"/>
      </w:rPr>
    </w:lvl>
    <w:lvl w:ilvl="1">
      <w:start w:val="1"/>
      <w:numFmt w:val="decimal"/>
      <w:pStyle w:val="EPOHeading2"/>
      <w:lvlText w:val="%1.%2."/>
      <w:lvlJc w:val="left"/>
      <w:pPr>
        <w:tabs>
          <w:tab w:val="num" w:pos="680"/>
        </w:tabs>
        <w:ind w:left="680" w:hanging="680"/>
      </w:pPr>
      <w:rPr>
        <w:rFonts w:ascii="Arial" w:hAnsi="Arial" w:cs="Arial"/>
      </w:rPr>
    </w:lvl>
    <w:lvl w:ilvl="2">
      <w:start w:val="1"/>
      <w:numFmt w:val="decimal"/>
      <w:pStyle w:val="EPOHeading3"/>
      <w:lvlText w:val="%1.%2.%3."/>
      <w:lvlJc w:val="left"/>
      <w:pPr>
        <w:tabs>
          <w:tab w:val="num" w:pos="794"/>
        </w:tabs>
        <w:ind w:left="794" w:hanging="794"/>
      </w:pPr>
      <w:rPr>
        <w:rFonts w:ascii="Arial" w:hAnsi="Arial" w:cs="Arial"/>
      </w:rPr>
    </w:lvl>
    <w:lvl w:ilvl="3">
      <w:start w:val="1"/>
      <w:numFmt w:val="decimal"/>
      <w:pStyle w:val="EPOHeading4"/>
      <w:lvlText w:val="%1.%2.%3.%4."/>
      <w:lvlJc w:val="left"/>
      <w:pPr>
        <w:tabs>
          <w:tab w:val="num" w:pos="964"/>
        </w:tabs>
        <w:ind w:left="964" w:hanging="96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32889448">
    <w:abstractNumId w:val="5"/>
  </w:num>
  <w:num w:numId="2" w16cid:durableId="1140078323">
    <w:abstractNumId w:val="7"/>
  </w:num>
  <w:num w:numId="3" w16cid:durableId="1258244964">
    <w:abstractNumId w:val="1"/>
  </w:num>
  <w:num w:numId="4" w16cid:durableId="79302371">
    <w:abstractNumId w:val="4"/>
  </w:num>
  <w:num w:numId="5" w16cid:durableId="362364162">
    <w:abstractNumId w:val="6"/>
  </w:num>
  <w:num w:numId="6" w16cid:durableId="1024669369">
    <w:abstractNumId w:val="9"/>
  </w:num>
  <w:num w:numId="7" w16cid:durableId="768310407">
    <w:abstractNumId w:val="0"/>
  </w:num>
  <w:num w:numId="8" w16cid:durableId="228467450">
    <w:abstractNumId w:val="3"/>
  </w:num>
  <w:num w:numId="9" w16cid:durableId="1517422024">
    <w:abstractNumId w:val="8"/>
  </w:num>
  <w:num w:numId="10" w16cid:durableId="16077312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2EA"/>
    <w:rsid w:val="00000442"/>
    <w:rsid w:val="000114B1"/>
    <w:rsid w:val="00034E5B"/>
    <w:rsid w:val="00064E87"/>
    <w:rsid w:val="000A4CC1"/>
    <w:rsid w:val="000B6964"/>
    <w:rsid w:val="001275AF"/>
    <w:rsid w:val="001B5821"/>
    <w:rsid w:val="00215ECF"/>
    <w:rsid w:val="002B31BD"/>
    <w:rsid w:val="003C70CB"/>
    <w:rsid w:val="006E0257"/>
    <w:rsid w:val="006E524F"/>
    <w:rsid w:val="00720126"/>
    <w:rsid w:val="00777396"/>
    <w:rsid w:val="008B2EEC"/>
    <w:rsid w:val="009A07D2"/>
    <w:rsid w:val="009F08B1"/>
    <w:rsid w:val="00B7105E"/>
    <w:rsid w:val="00B932EA"/>
    <w:rsid w:val="00BD16B6"/>
    <w:rsid w:val="00BD670E"/>
    <w:rsid w:val="00EF7AF4"/>
    <w:rsid w:val="00FD61FC"/>
    <w:rsid w:val="01AA0FFF"/>
    <w:rsid w:val="028FACFB"/>
    <w:rsid w:val="06D21F51"/>
    <w:rsid w:val="0707A6FF"/>
    <w:rsid w:val="08E8913C"/>
    <w:rsid w:val="09F897D5"/>
    <w:rsid w:val="0AA4F435"/>
    <w:rsid w:val="0CF2D830"/>
    <w:rsid w:val="0E60B8E7"/>
    <w:rsid w:val="147BEF90"/>
    <w:rsid w:val="158FA341"/>
    <w:rsid w:val="16BB14AD"/>
    <w:rsid w:val="1780D1EF"/>
    <w:rsid w:val="178FB8A7"/>
    <w:rsid w:val="17E48933"/>
    <w:rsid w:val="19212965"/>
    <w:rsid w:val="195ECE95"/>
    <w:rsid w:val="1B10774A"/>
    <w:rsid w:val="1BAD6F2B"/>
    <w:rsid w:val="214EE4E1"/>
    <w:rsid w:val="289F941B"/>
    <w:rsid w:val="2A6DEF08"/>
    <w:rsid w:val="2B52819C"/>
    <w:rsid w:val="2D801CC8"/>
    <w:rsid w:val="2DECD53B"/>
    <w:rsid w:val="2EEF0909"/>
    <w:rsid w:val="30BECE79"/>
    <w:rsid w:val="3167802B"/>
    <w:rsid w:val="32177B1F"/>
    <w:rsid w:val="33663952"/>
    <w:rsid w:val="399FB433"/>
    <w:rsid w:val="3CA6C638"/>
    <w:rsid w:val="3D072C77"/>
    <w:rsid w:val="3D9DF5C5"/>
    <w:rsid w:val="3EA9EF0A"/>
    <w:rsid w:val="423D4BAB"/>
    <w:rsid w:val="432161DC"/>
    <w:rsid w:val="4452E669"/>
    <w:rsid w:val="473543D0"/>
    <w:rsid w:val="476C5ED0"/>
    <w:rsid w:val="487F346C"/>
    <w:rsid w:val="4906CA05"/>
    <w:rsid w:val="4A4E4822"/>
    <w:rsid w:val="4A83A18C"/>
    <w:rsid w:val="4CAF1BC5"/>
    <w:rsid w:val="4D94F83C"/>
    <w:rsid w:val="4EC69C87"/>
    <w:rsid w:val="5063D49B"/>
    <w:rsid w:val="5602A2FF"/>
    <w:rsid w:val="585C7251"/>
    <w:rsid w:val="5A26C2CC"/>
    <w:rsid w:val="5A608430"/>
    <w:rsid w:val="5A72EAD1"/>
    <w:rsid w:val="5D43BD51"/>
    <w:rsid w:val="6233C9B7"/>
    <w:rsid w:val="63CBBC5A"/>
    <w:rsid w:val="654C5650"/>
    <w:rsid w:val="66E4BFAF"/>
    <w:rsid w:val="699BEC17"/>
    <w:rsid w:val="69BEBC22"/>
    <w:rsid w:val="6B715B59"/>
    <w:rsid w:val="6BE3119B"/>
    <w:rsid w:val="6CEA22EF"/>
    <w:rsid w:val="6D0D2BBA"/>
    <w:rsid w:val="6D67EE6B"/>
    <w:rsid w:val="6DA4994D"/>
    <w:rsid w:val="6F43141C"/>
    <w:rsid w:val="7044CC7C"/>
    <w:rsid w:val="70B1C438"/>
    <w:rsid w:val="711DA86E"/>
    <w:rsid w:val="74FC15E3"/>
    <w:rsid w:val="753F2D8D"/>
    <w:rsid w:val="75D0BC96"/>
    <w:rsid w:val="771066E4"/>
    <w:rsid w:val="7799E874"/>
    <w:rsid w:val="78312C9E"/>
    <w:rsid w:val="78FCB53E"/>
    <w:rsid w:val="7ACE9B85"/>
    <w:rsid w:val="7B760F0B"/>
    <w:rsid w:val="7C1695E6"/>
    <w:rsid w:val="7D8EB830"/>
    <w:rsid w:val="7EE4DB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9E396"/>
  <w15:docId w15:val="{497AFA52-E161-4066-963D-67A408340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fr-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eastAsia="zh-CN" w:bidi="hi-IN"/>
    </w:rPr>
  </w:style>
  <w:style w:type="paragraph" w:styleId="Heading1">
    <w:name w:val="heading 1"/>
    <w:basedOn w:val="LO-normal"/>
    <w:next w:val="LO-normal"/>
    <w:uiPriority w:val="9"/>
    <w:qFormat/>
    <w:pPr>
      <w:keepNext/>
      <w:keepLines/>
      <w:spacing w:before="400" w:after="120" w:line="240" w:lineRule="auto"/>
      <w:outlineLvl w:val="0"/>
    </w:pPr>
    <w:rPr>
      <w:sz w:val="40"/>
      <w:szCs w:val="40"/>
    </w:rPr>
  </w:style>
  <w:style w:type="paragraph" w:styleId="Heading2">
    <w:name w:val="heading 2"/>
    <w:basedOn w:val="LO-normal"/>
    <w:next w:val="LO-normal"/>
    <w:uiPriority w:val="9"/>
    <w:semiHidden/>
    <w:unhideWhenUsed/>
    <w:qFormat/>
    <w:pPr>
      <w:keepNext/>
      <w:keepLines/>
      <w:numPr>
        <w:ilvl w:val="1"/>
        <w:numId w:val="10"/>
      </w:numPr>
      <w:spacing w:before="360" w:after="120" w:line="240" w:lineRule="auto"/>
      <w:outlineLvl w:val="1"/>
    </w:pPr>
    <w:rPr>
      <w:sz w:val="32"/>
      <w:szCs w:val="32"/>
    </w:rPr>
  </w:style>
  <w:style w:type="paragraph" w:styleId="Heading3">
    <w:name w:val="heading 3"/>
    <w:basedOn w:val="LO-normal"/>
    <w:next w:val="LO-normal"/>
    <w:uiPriority w:val="9"/>
    <w:semiHidden/>
    <w:unhideWhenUsed/>
    <w:qFormat/>
    <w:pPr>
      <w:keepNext/>
      <w:keepLines/>
      <w:numPr>
        <w:ilvl w:val="2"/>
        <w:numId w:val="10"/>
      </w:numPr>
      <w:spacing w:before="320" w:after="80" w:line="240" w:lineRule="auto"/>
      <w:outlineLvl w:val="2"/>
    </w:pPr>
    <w:rPr>
      <w:color w:val="434343"/>
      <w:sz w:val="28"/>
      <w:szCs w:val="28"/>
    </w:rPr>
  </w:style>
  <w:style w:type="paragraph" w:styleId="Heading4">
    <w:name w:val="heading 4"/>
    <w:basedOn w:val="LO-normal"/>
    <w:next w:val="LO-normal"/>
    <w:uiPriority w:val="9"/>
    <w:semiHidden/>
    <w:unhideWhenUsed/>
    <w:qFormat/>
    <w:pPr>
      <w:keepNext/>
      <w:keepLines/>
      <w:numPr>
        <w:ilvl w:val="3"/>
        <w:numId w:val="10"/>
      </w:numPr>
      <w:spacing w:before="280" w:after="80" w:line="240" w:lineRule="auto"/>
      <w:outlineLvl w:val="3"/>
    </w:pPr>
    <w:rPr>
      <w:color w:val="666666"/>
      <w:sz w:val="24"/>
      <w:szCs w:val="24"/>
    </w:rPr>
  </w:style>
  <w:style w:type="paragraph" w:styleId="Heading5">
    <w:name w:val="heading 5"/>
    <w:basedOn w:val="LO-normal"/>
    <w:next w:val="LO-normal"/>
    <w:uiPriority w:val="9"/>
    <w:semiHidden/>
    <w:unhideWhenUsed/>
    <w:qFormat/>
    <w:pPr>
      <w:keepNext/>
      <w:keepLines/>
      <w:numPr>
        <w:ilvl w:val="4"/>
        <w:numId w:val="10"/>
      </w:numPr>
      <w:spacing w:before="240" w:after="80" w:line="240" w:lineRule="auto"/>
      <w:outlineLvl w:val="4"/>
    </w:pPr>
    <w:rPr>
      <w:color w:val="666666"/>
    </w:rPr>
  </w:style>
  <w:style w:type="paragraph" w:styleId="Heading6">
    <w:name w:val="heading 6"/>
    <w:basedOn w:val="LO-normal"/>
    <w:next w:val="LO-normal"/>
    <w:uiPriority w:val="9"/>
    <w:semiHidden/>
    <w:unhideWhenUsed/>
    <w:qFormat/>
    <w:pPr>
      <w:keepNext/>
      <w:keepLines/>
      <w:numPr>
        <w:ilvl w:val="5"/>
        <w:numId w:val="10"/>
      </w:numPr>
      <w:spacing w:before="240" w:after="80" w:line="240" w:lineRule="auto"/>
      <w:outlineLvl w:val="5"/>
    </w:pPr>
    <w:rPr>
      <w:i/>
      <w:color w:val="666666"/>
    </w:rPr>
  </w:style>
  <w:style w:type="paragraph" w:styleId="Heading7">
    <w:name w:val="heading 7"/>
    <w:basedOn w:val="Normal"/>
    <w:next w:val="Normal"/>
    <w:link w:val="Heading7Char"/>
    <w:uiPriority w:val="9"/>
    <w:semiHidden/>
    <w:unhideWhenUsed/>
    <w:qFormat/>
    <w:rsid w:val="009A07D2"/>
    <w:pPr>
      <w:keepNext/>
      <w:keepLines/>
      <w:numPr>
        <w:ilvl w:val="6"/>
        <w:numId w:val="10"/>
      </w:numPr>
      <w:spacing w:before="40"/>
      <w:outlineLvl w:val="6"/>
    </w:pPr>
    <w:rPr>
      <w:rFonts w:cs="Mangal" w:asciiTheme="majorHAnsi" w:hAnsiTheme="majorHAnsi" w:eastAsiaTheme="majorEastAsia"/>
      <w:i/>
      <w:iCs/>
      <w:color w:val="243F60" w:themeColor="accent1" w:themeShade="7F"/>
      <w:szCs w:val="20"/>
    </w:rPr>
  </w:style>
  <w:style w:type="paragraph" w:styleId="Heading8">
    <w:name w:val="heading 8"/>
    <w:basedOn w:val="Normal"/>
    <w:next w:val="Normal"/>
    <w:link w:val="Heading8Char"/>
    <w:uiPriority w:val="9"/>
    <w:semiHidden/>
    <w:unhideWhenUsed/>
    <w:qFormat/>
    <w:rsid w:val="009A07D2"/>
    <w:pPr>
      <w:keepNext/>
      <w:keepLines/>
      <w:numPr>
        <w:ilvl w:val="7"/>
        <w:numId w:val="10"/>
      </w:numPr>
      <w:spacing w:before="40"/>
      <w:outlineLvl w:val="7"/>
    </w:pPr>
    <w:rPr>
      <w:rFonts w:cs="Mangal" w:asciiTheme="majorHAnsi" w:hAnsiTheme="majorHAnsi" w:eastAsiaTheme="majorEastAsia"/>
      <w:color w:val="272727" w:themeColor="text1" w:themeTint="D8"/>
      <w:sz w:val="21"/>
      <w:szCs w:val="19"/>
    </w:rPr>
  </w:style>
  <w:style w:type="paragraph" w:styleId="Heading9">
    <w:name w:val="heading 9"/>
    <w:basedOn w:val="Normal"/>
    <w:next w:val="Normal"/>
    <w:link w:val="Heading9Char"/>
    <w:uiPriority w:val="9"/>
    <w:semiHidden/>
    <w:unhideWhenUsed/>
    <w:qFormat/>
    <w:rsid w:val="009A07D2"/>
    <w:pPr>
      <w:keepNext/>
      <w:keepLines/>
      <w:numPr>
        <w:ilvl w:val="8"/>
        <w:numId w:val="10"/>
      </w:numPr>
      <w:spacing w:before="40"/>
      <w:outlineLvl w:val="8"/>
    </w:pPr>
    <w:rPr>
      <w:rFonts w:cs="Mangal" w:asciiTheme="majorHAnsi" w:hAnsiTheme="majorHAnsi" w:eastAsiaTheme="majorEastAsia"/>
      <w:i/>
      <w:iCs/>
      <w:color w:val="272727" w:themeColor="text1" w:themeTint="D8"/>
      <w:sz w:val="21"/>
      <w:szCs w:val="19"/>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LO-normal"/>
    <w:next w:val="LO-normal"/>
    <w:uiPriority w:val="10"/>
    <w:qFormat/>
    <w:pPr>
      <w:keepNext/>
      <w:keepLines/>
      <w:spacing w:after="60" w:line="240" w:lineRule="auto"/>
    </w:pPr>
    <w:rPr>
      <w:sz w:val="52"/>
      <w:szCs w:val="52"/>
    </w:rPr>
  </w:style>
  <w:style w:type="character" w:styleId="Hyperlink">
    <w:name w:val="Hyperlink"/>
    <w:rPr>
      <w:color w:val="000080"/>
      <w:u w:val="single"/>
    </w:rPr>
  </w:style>
  <w:style w:type="character" w:styleId="FootnoteCharacters" w:customStyle="1">
    <w:name w:val="Footnote Characters"/>
    <w:qFormat/>
  </w:style>
  <w:style w:type="character" w:styleId="FootnoteReference">
    <w:name w:val="footnote reference"/>
    <w:rPr>
      <w:vertAlign w:val="superscript"/>
    </w:rPr>
  </w:style>
  <w:style w:type="character" w:styleId="EndnoteReference">
    <w:name w:val="endnote reference"/>
    <w:rPr>
      <w:vertAlign w:val="superscript"/>
    </w:rPr>
  </w:style>
  <w:style w:type="character" w:styleId="EndnoteCharacters" w:customStyle="1">
    <w:name w:val="Endnote Characters"/>
    <w:qFormat/>
  </w:style>
  <w:style w:type="paragraph" w:styleId="Heading" w:customStyle="1">
    <w:name w:val="Heading"/>
    <w:basedOn w:val="Normal"/>
    <w:next w:val="BodyText"/>
    <w:qFormat/>
    <w:pPr>
      <w:keepNext/>
      <w:spacing w:before="240" w:after="120"/>
    </w:pPr>
    <w:rPr>
      <w:rFonts w:ascii="Liberation Sans" w:hAnsi="Liberation Sans" w:eastAsia="Microsoft YaHei"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suppressLineNumbers/>
    </w:pPr>
    <w:rPr>
      <w:rFonts w:cs="Lucida Sans"/>
    </w:rPr>
  </w:style>
  <w:style w:type="paragraph" w:styleId="LO-normal" w:customStyle="1">
    <w:name w:val="LO-normal"/>
    <w:qFormat/>
    <w:rPr>
      <w:lang w:eastAsia="zh-CN" w:bidi="hi-IN"/>
    </w:rPr>
  </w:style>
  <w:style w:type="paragraph" w:styleId="Subtitle">
    <w:name w:val="Subtitle"/>
    <w:basedOn w:val="Normal"/>
    <w:next w:val="Normal"/>
    <w:uiPriority w:val="11"/>
    <w:qFormat/>
    <w:pPr>
      <w:keepNext/>
      <w:keepLines/>
      <w:spacing w:after="320" w:line="240" w:lineRule="auto"/>
    </w:pPr>
    <w:rPr>
      <w:color w:val="666666"/>
      <w:sz w:val="30"/>
      <w:szCs w:val="30"/>
    </w:rPr>
  </w:style>
  <w:style w:type="paragraph" w:styleId="FootnoteText">
    <w:name w:val="footnote text"/>
    <w:basedOn w:val="Normal"/>
  </w:style>
  <w:style w:type="paragraph" w:styleId="Revision">
    <w:name w:val="Revision"/>
    <w:hidden/>
    <w:uiPriority w:val="99"/>
    <w:semiHidden/>
    <w:rsid w:val="009A07D2"/>
    <w:pPr>
      <w:spacing w:line="240" w:lineRule="auto"/>
    </w:pPr>
    <w:rPr>
      <w:rFonts w:cs="Mangal"/>
      <w:szCs w:val="20"/>
      <w:lang w:eastAsia="zh-CN" w:bidi="hi-IN"/>
    </w:rPr>
  </w:style>
  <w:style w:type="paragraph" w:styleId="EPONormal" w:customStyle="1">
    <w:name w:val="EPO Normal"/>
    <w:qFormat/>
    <w:rsid w:val="009A07D2"/>
    <w:pPr>
      <w:spacing w:line="287" w:lineRule="auto"/>
      <w:jc w:val="both"/>
    </w:pPr>
    <w:rPr>
      <w:lang w:eastAsia="zh-CN" w:bidi="hi-IN"/>
    </w:rPr>
  </w:style>
  <w:style w:type="paragraph" w:styleId="EPOSubheading11pt" w:customStyle="1">
    <w:name w:val="EPO Subheading 11pt"/>
    <w:next w:val="EPONormal"/>
    <w:qFormat/>
    <w:rsid w:val="009A07D2"/>
    <w:pPr>
      <w:keepNext/>
      <w:spacing w:before="220" w:after="220" w:line="287" w:lineRule="auto"/>
    </w:pPr>
    <w:rPr>
      <w:b/>
      <w:lang w:eastAsia="zh-CN" w:bidi="hi-IN"/>
    </w:rPr>
  </w:style>
  <w:style w:type="paragraph" w:styleId="EPOFootnote" w:customStyle="1">
    <w:name w:val="EPO Footnote"/>
    <w:qFormat/>
    <w:rsid w:val="009A07D2"/>
    <w:pPr>
      <w:spacing w:line="287" w:lineRule="auto"/>
      <w:jc w:val="both"/>
    </w:pPr>
    <w:rPr>
      <w:sz w:val="16"/>
      <w:lang w:eastAsia="zh-CN" w:bidi="hi-IN"/>
    </w:rPr>
  </w:style>
  <w:style w:type="paragraph" w:styleId="EPOFooter" w:customStyle="1">
    <w:name w:val="EPO Footer"/>
    <w:qFormat/>
    <w:rsid w:val="009A07D2"/>
    <w:pPr>
      <w:spacing w:line="287" w:lineRule="auto"/>
    </w:pPr>
    <w:rPr>
      <w:sz w:val="16"/>
      <w:lang w:eastAsia="zh-CN" w:bidi="hi-IN"/>
    </w:rPr>
  </w:style>
  <w:style w:type="paragraph" w:styleId="EPOHeader" w:customStyle="1">
    <w:name w:val="EPO Header"/>
    <w:qFormat/>
    <w:rsid w:val="009A07D2"/>
    <w:pPr>
      <w:spacing w:line="287" w:lineRule="auto"/>
    </w:pPr>
    <w:rPr>
      <w:sz w:val="16"/>
      <w:lang w:eastAsia="zh-CN" w:bidi="hi-IN"/>
    </w:rPr>
  </w:style>
  <w:style w:type="paragraph" w:styleId="EPOSubheading14pt" w:customStyle="1">
    <w:name w:val="EPO Subheading 14pt"/>
    <w:next w:val="EPONormal"/>
    <w:qFormat/>
    <w:rsid w:val="009A07D2"/>
    <w:pPr>
      <w:keepNext/>
      <w:spacing w:before="220" w:after="220" w:line="287" w:lineRule="auto"/>
    </w:pPr>
    <w:rPr>
      <w:b/>
      <w:sz w:val="28"/>
      <w:lang w:eastAsia="zh-CN" w:bidi="hi-IN"/>
    </w:rPr>
  </w:style>
  <w:style w:type="paragraph" w:styleId="EPOAnnex" w:customStyle="1">
    <w:name w:val="EPO Annex"/>
    <w:next w:val="EPONormal"/>
    <w:qFormat/>
    <w:rsid w:val="009A07D2"/>
    <w:pPr>
      <w:pageBreakBefore/>
      <w:numPr>
        <w:numId w:val="2"/>
      </w:numPr>
      <w:tabs>
        <w:tab w:val="clear" w:pos="567"/>
        <w:tab w:val="left" w:pos="1417"/>
      </w:tabs>
      <w:spacing w:after="220" w:line="287" w:lineRule="auto"/>
      <w:ind w:left="1417" w:hanging="1417"/>
    </w:pPr>
    <w:rPr>
      <w:b/>
      <w:sz w:val="28"/>
      <w:lang w:eastAsia="zh-CN" w:bidi="hi-IN"/>
    </w:rPr>
  </w:style>
  <w:style w:type="character" w:styleId="Heading7Char" w:customStyle="1">
    <w:name w:val="Heading 7 Char"/>
    <w:basedOn w:val="DefaultParagraphFont"/>
    <w:link w:val="Heading7"/>
    <w:uiPriority w:val="9"/>
    <w:semiHidden/>
    <w:rsid w:val="009A07D2"/>
    <w:rPr>
      <w:rFonts w:cs="Mangal" w:asciiTheme="majorHAnsi" w:hAnsiTheme="majorHAnsi" w:eastAsiaTheme="majorEastAsia"/>
      <w:i/>
      <w:iCs/>
      <w:color w:val="243F60" w:themeColor="accent1" w:themeShade="7F"/>
      <w:szCs w:val="20"/>
      <w:lang w:eastAsia="zh-CN" w:bidi="hi-IN"/>
    </w:rPr>
  </w:style>
  <w:style w:type="character" w:styleId="Heading8Char" w:customStyle="1">
    <w:name w:val="Heading 8 Char"/>
    <w:basedOn w:val="DefaultParagraphFont"/>
    <w:link w:val="Heading8"/>
    <w:uiPriority w:val="9"/>
    <w:semiHidden/>
    <w:rsid w:val="009A07D2"/>
    <w:rPr>
      <w:rFonts w:cs="Mangal" w:asciiTheme="majorHAnsi" w:hAnsiTheme="majorHAnsi" w:eastAsiaTheme="majorEastAsia"/>
      <w:color w:val="272727" w:themeColor="text1" w:themeTint="D8"/>
      <w:sz w:val="21"/>
      <w:szCs w:val="19"/>
      <w:lang w:eastAsia="zh-CN" w:bidi="hi-IN"/>
    </w:rPr>
  </w:style>
  <w:style w:type="character" w:styleId="Heading9Char" w:customStyle="1">
    <w:name w:val="Heading 9 Char"/>
    <w:basedOn w:val="DefaultParagraphFont"/>
    <w:link w:val="Heading9"/>
    <w:uiPriority w:val="9"/>
    <w:semiHidden/>
    <w:rsid w:val="009A07D2"/>
    <w:rPr>
      <w:rFonts w:cs="Mangal" w:asciiTheme="majorHAnsi" w:hAnsiTheme="majorHAnsi" w:eastAsiaTheme="majorEastAsia"/>
      <w:i/>
      <w:iCs/>
      <w:color w:val="272727" w:themeColor="text1" w:themeTint="D8"/>
      <w:sz w:val="21"/>
      <w:szCs w:val="19"/>
      <w:lang w:eastAsia="zh-CN" w:bidi="hi-IN"/>
    </w:rPr>
  </w:style>
  <w:style w:type="paragraph" w:styleId="EPOTitle1-25pt" w:customStyle="1">
    <w:name w:val="EPO Title 1 - 25pt"/>
    <w:next w:val="EPONormal"/>
    <w:qFormat/>
    <w:rsid w:val="009A07D2"/>
    <w:pPr>
      <w:spacing w:after="220" w:line="287" w:lineRule="auto"/>
    </w:pPr>
    <w:rPr>
      <w:b/>
      <w:sz w:val="50"/>
      <w:lang w:eastAsia="zh-CN" w:bidi="hi-IN"/>
    </w:rPr>
  </w:style>
  <w:style w:type="paragraph" w:styleId="EPOTitle2-18pt" w:customStyle="1">
    <w:name w:val="EPO Title 2 - 18pt"/>
    <w:next w:val="EPONormal"/>
    <w:qFormat/>
    <w:rsid w:val="009A07D2"/>
    <w:pPr>
      <w:spacing w:after="220" w:line="287" w:lineRule="auto"/>
    </w:pPr>
    <w:rPr>
      <w:b/>
      <w:sz w:val="36"/>
      <w:lang w:eastAsia="zh-CN" w:bidi="hi-IN"/>
    </w:rPr>
  </w:style>
  <w:style w:type="paragraph" w:styleId="EPOHeading1" w:customStyle="1">
    <w:name w:val="EPO Heading 1"/>
    <w:next w:val="EPONormal"/>
    <w:qFormat/>
    <w:rsid w:val="009A07D2"/>
    <w:pPr>
      <w:keepNext/>
      <w:numPr>
        <w:numId w:val="6"/>
      </w:numPr>
      <w:spacing w:before="220" w:after="220" w:line="287" w:lineRule="auto"/>
      <w:outlineLvl w:val="0"/>
    </w:pPr>
    <w:rPr>
      <w:b/>
      <w:sz w:val="28"/>
      <w:lang w:eastAsia="zh-CN" w:bidi="hi-IN"/>
    </w:rPr>
  </w:style>
  <w:style w:type="paragraph" w:styleId="EPOHeading2" w:customStyle="1">
    <w:name w:val="EPO Heading 2"/>
    <w:next w:val="EPONormal"/>
    <w:qFormat/>
    <w:rsid w:val="009A07D2"/>
    <w:pPr>
      <w:keepNext/>
      <w:numPr>
        <w:ilvl w:val="1"/>
        <w:numId w:val="6"/>
      </w:numPr>
      <w:spacing w:before="220" w:after="220" w:line="287" w:lineRule="auto"/>
      <w:outlineLvl w:val="1"/>
    </w:pPr>
    <w:rPr>
      <w:b/>
      <w:sz w:val="24"/>
      <w:lang w:eastAsia="zh-CN" w:bidi="hi-IN"/>
    </w:rPr>
  </w:style>
  <w:style w:type="paragraph" w:styleId="EPOHeading3" w:customStyle="1">
    <w:name w:val="EPO Heading 3"/>
    <w:next w:val="EPONormal"/>
    <w:qFormat/>
    <w:rsid w:val="009A07D2"/>
    <w:pPr>
      <w:keepNext/>
      <w:numPr>
        <w:ilvl w:val="2"/>
        <w:numId w:val="6"/>
      </w:numPr>
      <w:spacing w:before="220" w:after="220" w:line="287" w:lineRule="auto"/>
      <w:outlineLvl w:val="2"/>
    </w:pPr>
    <w:rPr>
      <w:b/>
      <w:lang w:eastAsia="zh-CN" w:bidi="hi-IN"/>
    </w:rPr>
  </w:style>
  <w:style w:type="paragraph" w:styleId="EPOHeading4" w:customStyle="1">
    <w:name w:val="EPO Heading 4"/>
    <w:next w:val="EPONormal"/>
    <w:qFormat/>
    <w:rsid w:val="009A07D2"/>
    <w:pPr>
      <w:keepNext/>
      <w:numPr>
        <w:ilvl w:val="3"/>
        <w:numId w:val="6"/>
      </w:numPr>
      <w:spacing w:before="220" w:after="220" w:line="287" w:lineRule="auto"/>
      <w:outlineLvl w:val="3"/>
    </w:pPr>
    <w:rPr>
      <w:b/>
      <w:lang w:eastAsia="zh-CN" w:bidi="hi-IN"/>
    </w:rPr>
  </w:style>
  <w:style w:type="paragraph" w:styleId="EPOBullet1stlevel" w:customStyle="1">
    <w:name w:val="EPO Bullet 1st level"/>
    <w:qFormat/>
    <w:rsid w:val="009A07D2"/>
    <w:pPr>
      <w:numPr>
        <w:numId w:val="7"/>
      </w:numPr>
      <w:tabs>
        <w:tab w:val="clear" w:pos="1134"/>
      </w:tabs>
      <w:spacing w:line="287" w:lineRule="auto"/>
      <w:ind w:left="397" w:hanging="397"/>
      <w:jc w:val="both"/>
    </w:pPr>
    <w:rPr>
      <w:lang w:eastAsia="zh-CN" w:bidi="hi-IN"/>
    </w:rPr>
  </w:style>
  <w:style w:type="paragraph" w:styleId="EPOBullet2ndlevel" w:customStyle="1">
    <w:name w:val="EPO Bullet 2nd level"/>
    <w:qFormat/>
    <w:rsid w:val="009A07D2"/>
    <w:pPr>
      <w:numPr>
        <w:numId w:val="8"/>
      </w:numPr>
      <w:tabs>
        <w:tab w:val="clear" w:pos="1701"/>
      </w:tabs>
      <w:spacing w:line="287" w:lineRule="auto"/>
      <w:ind w:left="794" w:hanging="397"/>
      <w:jc w:val="both"/>
    </w:pPr>
    <w:rPr>
      <w:lang w:eastAsia="zh-CN" w:bidi="hi-IN"/>
    </w:rPr>
  </w:style>
  <w:style w:type="paragraph" w:styleId="EPOList-numbers" w:customStyle="1">
    <w:name w:val="EPO List - numbers"/>
    <w:qFormat/>
    <w:rsid w:val="009A07D2"/>
    <w:pPr>
      <w:numPr>
        <w:numId w:val="9"/>
      </w:numPr>
      <w:tabs>
        <w:tab w:val="left" w:pos="397"/>
      </w:tabs>
      <w:spacing w:line="287" w:lineRule="auto"/>
      <w:jc w:val="both"/>
    </w:pPr>
    <w:rPr>
      <w:lang w:eastAsia="zh-CN" w:bidi="hi-IN"/>
    </w:rPr>
  </w:style>
  <w:style w:type="paragraph" w:styleId="EPOList-letters" w:customStyle="1">
    <w:name w:val="EPO List - letters"/>
    <w:qFormat/>
    <w:rsid w:val="009A07D2"/>
    <w:pPr>
      <w:numPr>
        <w:numId w:val="10"/>
      </w:numPr>
      <w:tabs>
        <w:tab w:val="left" w:pos="397"/>
      </w:tabs>
      <w:spacing w:line="287" w:lineRule="auto"/>
      <w:jc w:val="both"/>
    </w:pPr>
    <w:rPr>
      <w:lang w:eastAsia="zh-CN" w:bidi="hi-I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rsid w:val="009F08B1"/>
    <w:rPr>
      <w:rFonts w:cs="Mangal"/>
      <w:sz w:val="20"/>
      <w:szCs w:val="18"/>
      <w:lang w:eastAsia="zh-CN" w:bidi="hi-IN"/>
    </w:rPr>
  </w:style>
  <w:style w:type="paragraph" w:styleId="CommentSubject">
    <w:name w:val="annotation subject"/>
    <w:basedOn w:val="CommentText"/>
    <w:next w:val="CommentText"/>
    <w:link w:val="CommentSubjectChar"/>
    <w:uiPriority w:val="99"/>
    <w:semiHidden/>
    <w:unhideWhenUsed/>
    <w:rsid w:val="009F08B1"/>
    <w:rPr>
      <w:b/>
      <w:bCs/>
    </w:rPr>
  </w:style>
  <w:style w:type="character" w:styleId="CommentSubjectChar" w:customStyle="1">
    <w:name w:val="Comment Subject Char"/>
    <w:basedOn w:val="CommentTextChar"/>
    <w:link w:val="CommentSubject"/>
    <w:uiPriority w:val="99"/>
    <w:semiHidden/>
    <w:rsid w:val="009F08B1"/>
    <w:rPr>
      <w:rFonts w:cs="Mangal"/>
      <w:b/>
      <w:bCs/>
      <w:sz w:val="20"/>
      <w:szCs w:val="18"/>
      <w:lang w:eastAsia="zh-CN" w:bidi="hi-IN"/>
    </w:rPr>
  </w:style>
  <w:style w:type="paragraph" w:styleId="BalloonText">
    <w:name w:val="Balloon Text"/>
    <w:basedOn w:val="Normal"/>
    <w:link w:val="BalloonTextChar"/>
    <w:uiPriority w:val="99"/>
    <w:semiHidden/>
    <w:unhideWhenUsed/>
    <w:rsid w:val="00BD16B6"/>
    <w:pPr>
      <w:spacing w:line="240" w:lineRule="auto"/>
    </w:pPr>
    <w:rPr>
      <w:rFonts w:ascii="Segoe UI" w:hAnsi="Segoe UI" w:cs="Mangal"/>
      <w:sz w:val="18"/>
      <w:szCs w:val="16"/>
    </w:rPr>
  </w:style>
  <w:style w:type="character" w:styleId="BalloonTextChar" w:customStyle="1">
    <w:name w:val="Balloon Text Char"/>
    <w:basedOn w:val="DefaultParagraphFont"/>
    <w:link w:val="BalloonText"/>
    <w:uiPriority w:val="99"/>
    <w:semiHidden/>
    <w:rsid w:val="00BD16B6"/>
    <w:rPr>
      <w:rFonts w:ascii="Segoe UI" w:hAnsi="Segoe UI" w:cs="Mangal"/>
      <w:sz w:val="18"/>
      <w:szCs w:val="16"/>
      <w:lang w:eastAsia="zh-CN" w:bidi="hi-IN"/>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numbering" Target="numbering.xml" Id="rId7"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customXml" Target="../customXml/item5.xml" Id="rId5" /><Relationship Type="http://schemas.microsoft.com/office/2016/09/relationships/commentsIds" Target="commentsIds.xml" Id="rId15" /><Relationship Type="http://schemas.openxmlformats.org/officeDocument/2006/relationships/webSettings" Target="webSettings.xml" Id="rId10" /><Relationship Type="http://schemas.openxmlformats.org/officeDocument/2006/relationships/customXml" Target="../customXml/item4.xml" Id="rId4" /><Relationship Type="http://schemas.openxmlformats.org/officeDocument/2006/relationships/settings" Target="settings.xml" Id="rId9" /><Relationship Type="http://schemas.microsoft.com/office/2011/relationships/commentsExtended" Target="commentsExtended.xml" Id="rId14" /><Relationship Type="http://schemas.openxmlformats.org/officeDocument/2006/relationships/hyperlink" Target="https://www.eea.europa.eu/fr/publications/evaluation-europeenne-des-risques-climatiques-synthese" TargetMode="External" Id="R9e2d7fa7e9204534" /><Relationship Type="http://schemas.openxmlformats.org/officeDocument/2006/relationships/hyperlink" Target="https://www.epo.org/fr/news-events/european-inventor-award/meet-the-finalists/tonio-sant-daniel-buhagiar-and-team?mtm_campaign=EIA2024&amp;mtm_keyword=pressrelease&amp;mtm_medium=press" TargetMode="External" Id="R2359900454cd4d30" /><Relationship Type="http://schemas.openxmlformats.org/officeDocument/2006/relationships/hyperlink" Target="mailto:press@epo.org" TargetMode="External" Id="Rf5735f8889694dda" /><Relationship Type="http://schemas.openxmlformats.org/officeDocument/2006/relationships/hyperlink" Target="https://www.epo.org/fr/news-events/european-inventor-award?mtm_campaign=EIA2024&amp;mtm_keyword=pressrelease&amp;mtm_medium=press" TargetMode="External" Id="R8dc4faaeb1f9426b" /><Relationship Type="http://schemas.openxmlformats.org/officeDocument/2006/relationships/hyperlink" Target="https://www.epo.org/fr/?mtm_campaign=EIA2024&amp;mtm_keyword=pressrelease&amp;mtm_medium=press" TargetMode="External" Id="R7db3042705284358" /><Relationship Type="http://schemas.openxmlformats.org/officeDocument/2006/relationships/hyperlink" Target="https://www.epo.org/fr/news-events/european-inventor-award/streaming?mtm_campaign=EIA2024&amp;mtm_keyword=pressrelease&amp;mtm_medium=press" TargetMode="External" Id="R7e0bb0a29ca9429c" /><Relationship Type="http://schemas.openxmlformats.org/officeDocument/2006/relationships/hyperlink" Target="https://a.cstmapp.com/login/973466/?vote=144556_707562019&amp;lc=eng" TargetMode="External" Id="R3b79468e5af54272" /><Relationship Type="http://schemas.openxmlformats.org/officeDocument/2006/relationships/header" Target="header.xml" Id="Rc0c17d3c195e4615" /><Relationship Type="http://schemas.openxmlformats.org/officeDocument/2006/relationships/footer" Target="footer.xml" Id="R1eed125eb38a44e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xml.rels>&#65279;<?xml version="1.0" encoding="utf-8"?><Relationships xmlns="http://schemas.openxmlformats.org/package/2006/relationships"><Relationship Type="http://schemas.openxmlformats.org/officeDocument/2006/relationships/image" Target="/media/image.png" Id="R96f568756f554f3f" /><Relationship Type="http://schemas.openxmlformats.org/officeDocument/2006/relationships/image" Target="/media/image2.png" Id="R316ba6918e80479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9fe85f9d-14b9-4f9c-9861-ae262a00135d" ContentTypeId="0x0101004B4BAD3DDDE0F84A8E56A09DD9B2FAD7" PreviousValue="false"/>
</file>

<file path=customXml/item3.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6a2087d8a798ac184d75514626af6db0">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e71387e9d4f639189bd694c462f23f5a"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TAS0-850928080-101619</_dlc_DocId>
    <_dlc_DocIdUrl xmlns="f2e99cb4-f4f9-415e-b3d9-1292be195fdc">
      <Url>https://byblos2019.internal.epo.org/sites/TAS/_layouts/15/DocIdRedir.aspx?ID=TAS0-850928080-101619</Url>
      <Description>TAS0-850928080-101619</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G9QKj5HJ0nv6os5lZaQbDRCuVQ==">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</go:docsCustomData>
</go:gDocsCustomXmlDataStorage>
</file>

<file path=customXml/itemProps1.xml><?xml version="1.0" encoding="utf-8"?>
<ds:datastoreItem xmlns:ds="http://schemas.openxmlformats.org/officeDocument/2006/customXml" ds:itemID="{D952F52A-48AB-47B3-BA4E-93518FA37A47}">
  <ds:schemaRefs>
    <ds:schemaRef ds:uri="http://schemas.microsoft.com/sharepoint/events"/>
  </ds:schemaRefs>
</ds:datastoreItem>
</file>

<file path=customXml/itemProps2.xml><?xml version="1.0" encoding="utf-8"?>
<ds:datastoreItem xmlns:ds="http://schemas.openxmlformats.org/officeDocument/2006/customXml" ds:itemID="{EFB4AB03-524F-420D-B5BC-096B199D426B}">
  <ds:schemaRefs>
    <ds:schemaRef ds:uri="Microsoft.SharePoint.Taxonomy.ContentTypeSync"/>
  </ds:schemaRefs>
</ds:datastoreItem>
</file>

<file path=customXml/itemProps3.xml><?xml version="1.0" encoding="utf-8"?>
<ds:datastoreItem xmlns:ds="http://schemas.openxmlformats.org/officeDocument/2006/customXml" ds:itemID="{C6046ADE-BC8B-4D6C-994E-EB1F91D57B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34F824-B072-42E9-B3AF-FE918B316BC5}">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c19017b9-b632-4fd7-b272-8e1706ce9985"/>
    <ds:schemaRef ds:uri="http://purl.org/dc/dcmitype/"/>
    <ds:schemaRef ds:uri="http://schemas.microsoft.com/office/infopath/2007/PartnerControls"/>
    <ds:schemaRef ds:uri="http://schemas.microsoft.com/sharepoint/v3/fields"/>
    <ds:schemaRef ds:uri="f2e99cb4-f4f9-415e-b3d9-1292be195fdc"/>
    <ds:schemaRef ds:uri="http://www.w3.org/XML/1998/namespace"/>
  </ds:schemaRefs>
</ds:datastoreItem>
</file>

<file path=customXml/itemProps5.xml><?xml version="1.0" encoding="utf-8"?>
<ds:datastoreItem xmlns:ds="http://schemas.openxmlformats.org/officeDocument/2006/customXml" ds:itemID="{D854EE6A-42BE-461C-B852-5B3F73FBDEF5}">
  <ds:schemaRefs>
    <ds:schemaRef ds:uri="http://schemas.microsoft.com/sharepoint/v3/contenttype/forms"/>
  </ds:schemaRefs>
</ds:datastoreItem>
</file>

<file path=customXml/itemProps6.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Miguel Angel Ruiz Ferrer</dc:creator>
  <lastModifiedBy>Sophie Rasbash (External)</lastModifiedBy>
  <revision>13</revision>
  <dcterms:created xsi:type="dcterms:W3CDTF">2024-04-19T11:13:00.0000000Z</dcterms:created>
  <dcterms:modified xsi:type="dcterms:W3CDTF">2024-05-13T15:54:27.2977164Z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79f60d41-219a-4b95-b3cb-e2b04ec93b96</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