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37664" w:rsidP="26FF0412" w:rsidRDefault="144BE490" w14:paraId="6CCF80B3" w14:textId="77777777">
      <w:pPr>
        <w:spacing w:before="240" w:after="240" w:line="360" w:lineRule="auto"/>
        <w:jc w:val="right"/>
        <w:rPr>
          <w:b/>
          <w:bCs/>
          <w:sz w:val="28"/>
          <w:szCs w:val="28"/>
        </w:rPr>
      </w:pPr>
      <w:r>
        <w:rPr>
          <w:b/>
          <w:sz w:val="28"/>
        </w:rPr>
        <w:t xml:space="preserve">COMMUNIQUÉ DE PRESSE </w:t>
      </w:r>
    </w:p>
    <w:p w:rsidR="00937664" w:rsidP="26FF0412" w:rsidRDefault="144BE490" w14:paraId="6CCF80B4" w14:textId="77777777">
      <w:pPr>
        <w:jc w:val="center"/>
        <w:rPr>
          <w:b/>
          <w:bCs/>
          <w:sz w:val="28"/>
          <w:szCs w:val="28"/>
        </w:rPr>
      </w:pPr>
      <w:r>
        <w:rPr>
          <w:b/>
          <w:sz w:val="28"/>
        </w:rPr>
        <w:t>Transformer la mobilité en fauteuil roulant grâce à une interface cerveau-machine : une équipe tunisienne sélectionnée parmi les finalistes du Young Inventors Prize 2024</w:t>
      </w:r>
    </w:p>
    <w:p w:rsidR="00937664" w:rsidP="26FF0412" w:rsidRDefault="00937664" w14:paraId="6CCF80B5" w14:textId="77777777">
      <w:pPr>
        <w:jc w:val="both"/>
        <w:rPr>
          <w:b/>
          <w:bCs/>
          <w:lang w:val="en-GB"/>
        </w:rPr>
      </w:pPr>
    </w:p>
    <w:p w:rsidR="00937664" w:rsidP="26FF0412" w:rsidRDefault="144BE490" w14:paraId="6CCF80B6" w14:textId="0D3DB829">
      <w:pPr>
        <w:numPr>
          <w:ilvl w:val="0"/>
          <w:numId w:val="1"/>
        </w:numPr>
        <w:ind w:left="714" w:hanging="357"/>
        <w:jc w:val="both"/>
        <w:rPr>
          <w:b/>
          <w:bCs/>
        </w:rPr>
      </w:pPr>
      <w:r>
        <w:rPr>
          <w:b/>
        </w:rPr>
        <w:t>De jeunes inventrices tunisiennes ont développé le système MOOVOBRAIN, qui commande les fauteuils roulants à l'aide de signaux cérébraux, de la voix et d'expressions faciales ou d'un pavé tactile</w:t>
      </w:r>
    </w:p>
    <w:p w:rsidR="00937664" w:rsidP="26FF0412" w:rsidRDefault="144BE490" w14:paraId="6CCF80B7" w14:textId="77777777">
      <w:pPr>
        <w:numPr>
          <w:ilvl w:val="0"/>
          <w:numId w:val="1"/>
        </w:numPr>
        <w:ind w:left="714" w:hanging="357"/>
        <w:jc w:val="both"/>
        <w:rPr>
          <w:b/>
          <w:bCs/>
        </w:rPr>
      </w:pPr>
      <w:r>
        <w:rPr>
          <w:b/>
        </w:rPr>
        <w:t>Cette technologie pourrait aider des millions personne en fauteuil roulant dans le monde en offrant une nouvelle autonomie à celles et ceux qui sont contraints par des limitations physiques</w:t>
      </w:r>
    </w:p>
    <w:p w:rsidR="00937664" w:rsidP="26FF0412" w:rsidRDefault="144BE490" w14:paraId="6CCF80B8" w14:textId="31D64BD6">
      <w:pPr>
        <w:numPr>
          <w:ilvl w:val="0"/>
          <w:numId w:val="1"/>
        </w:numPr>
        <w:ind w:left="714" w:hanging="357"/>
        <w:jc w:val="both"/>
        <w:rPr>
          <w:b w:val="1"/>
          <w:bCs w:val="1"/>
        </w:rPr>
      </w:pPr>
      <w:r w:rsidRPr="1101F479" w:rsidR="144BE490">
        <w:rPr>
          <w:b w:val="1"/>
          <w:bCs w:val="1"/>
        </w:rPr>
        <w:t xml:space="preserve">Le 9 juillet, l'équipe tunisienne concourra face à </w:t>
      </w:r>
      <w:r w:rsidRPr="1101F479" w:rsidR="1FF4FAE9">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fr-FR"/>
        </w:rPr>
        <w:t xml:space="preserve">une équipe hollandaise </w:t>
      </w:r>
      <w:r w:rsidRPr="1101F479" w:rsidR="144BE490">
        <w:rPr>
          <w:b w:val="1"/>
          <w:bCs w:val="1"/>
        </w:rPr>
        <w:t xml:space="preserve">et une équipe </w:t>
      </w:r>
      <w:r w:rsidRPr="1101F479" w:rsidR="5C4378AD">
        <w:rPr>
          <w:b w:val="1"/>
          <w:bCs w:val="1"/>
        </w:rPr>
        <w:t xml:space="preserve">ukrainienne </w:t>
      </w:r>
      <w:r w:rsidRPr="1101F479" w:rsidR="144BE490">
        <w:rPr>
          <w:b w:val="1"/>
          <w:bCs w:val="1"/>
        </w:rPr>
        <w:t xml:space="preserve">pour le Young </w:t>
      </w:r>
      <w:r w:rsidRPr="1101F479" w:rsidR="144BE490">
        <w:rPr>
          <w:b w:val="1"/>
          <w:bCs w:val="1"/>
        </w:rPr>
        <w:t>Inventors</w:t>
      </w:r>
      <w:r w:rsidRPr="1101F479" w:rsidR="144BE490">
        <w:rPr>
          <w:b w:val="1"/>
          <w:bCs w:val="1"/>
        </w:rPr>
        <w:t xml:space="preserve"> </w:t>
      </w:r>
      <w:r w:rsidRPr="1101F479" w:rsidR="144BE490">
        <w:rPr>
          <w:b w:val="1"/>
          <w:bCs w:val="1"/>
        </w:rPr>
        <w:t>Prize</w:t>
      </w:r>
    </w:p>
    <w:p w:rsidR="00937664" w:rsidP="26FF0412" w:rsidRDefault="00937664" w14:paraId="6CCF80BA" w14:textId="77777777">
      <w:pPr>
        <w:jc w:val="both"/>
        <w:rPr>
          <w:b/>
          <w:bCs/>
          <w:lang w:val="en-GB"/>
        </w:rPr>
      </w:pPr>
    </w:p>
    <w:p w:rsidR="144BE490" w:rsidP="26FF0412" w:rsidRDefault="768E1E1B" w14:paraId="6CCF80BB" w14:textId="3D0CE184">
      <w:pPr>
        <w:spacing w:line="240" w:lineRule="auto"/>
        <w:jc w:val="both"/>
      </w:pPr>
      <w:r w:rsidRPr="2179E45D" w:rsidR="768E1E1B">
        <w:rPr>
          <w:b w:val="1"/>
          <w:bCs w:val="1"/>
        </w:rPr>
        <w:t xml:space="preserve">Munich, le 4 juin 2024 </w:t>
      </w:r>
      <w:r w:rsidR="768E1E1B">
        <w:rPr/>
        <w:t xml:space="preserve">– Selon </w:t>
      </w:r>
      <w:hyperlink r:id="R3c557f9cd91c49c9">
        <w:r w:rsidRPr="2179E45D" w:rsidR="768E1E1B">
          <w:rPr>
            <w:rStyle w:val="Hyperlink"/>
          </w:rPr>
          <w:t>l'Organisation mondiale de la Santé (OMS)</w:t>
        </w:r>
      </w:hyperlink>
      <w:r w:rsidR="768E1E1B">
        <w:rPr/>
        <w:t>, au moins 80 millions de personnes (ou 1 % de la population mondiale) sont susceptibles d'avoir besoin d'un fauteuil roulant pour faciliter leur mobilité. Toutefois, de nombreux utilisateurs ne maîtrisent pas entièrement la partie supérieure de leur corps et doivent avoir recours à des soignants pour leur mobilité. Une équipe de jeunes ingénieures tunisiennes, âgées de 2</w:t>
      </w:r>
      <w:r w:rsidR="063E3A9F">
        <w:rPr/>
        <w:t>7</w:t>
      </w:r>
      <w:r w:rsidR="768E1E1B">
        <w:rPr/>
        <w:t xml:space="preserve"> à 28 ans, se penche sur cette question. </w:t>
      </w:r>
      <w:r w:rsidRPr="2179E45D" w:rsidR="768E1E1B">
        <w:rPr>
          <w:b w:val="1"/>
          <w:bCs w:val="1"/>
        </w:rPr>
        <w:t>Khaoula</w:t>
      </w:r>
      <w:r w:rsidRPr="2179E45D" w:rsidR="768E1E1B">
        <w:rPr>
          <w:b w:val="1"/>
          <w:bCs w:val="1"/>
        </w:rPr>
        <w:t xml:space="preserve"> Ben Ahmed (28 ans), </w:t>
      </w:r>
      <w:r w:rsidRPr="2179E45D" w:rsidR="768E1E1B">
        <w:rPr>
          <w:b w:val="1"/>
          <w:bCs w:val="1"/>
        </w:rPr>
        <w:t>Ghofrane</w:t>
      </w:r>
      <w:r w:rsidRPr="2179E45D" w:rsidR="768E1E1B">
        <w:rPr>
          <w:b w:val="1"/>
          <w:bCs w:val="1"/>
        </w:rPr>
        <w:t> </w:t>
      </w:r>
      <w:r w:rsidRPr="2179E45D" w:rsidR="768E1E1B">
        <w:rPr>
          <w:b w:val="1"/>
          <w:bCs w:val="1"/>
        </w:rPr>
        <w:t>Ayari</w:t>
      </w:r>
      <w:r w:rsidRPr="2179E45D" w:rsidR="768E1E1B">
        <w:rPr>
          <w:b w:val="1"/>
          <w:bCs w:val="1"/>
        </w:rPr>
        <w:t xml:space="preserve"> (27 ans), </w:t>
      </w:r>
      <w:r w:rsidRPr="2179E45D" w:rsidR="768E1E1B">
        <w:rPr>
          <w:b w:val="1"/>
          <w:bCs w:val="1"/>
        </w:rPr>
        <w:t>Souleima</w:t>
      </w:r>
      <w:r w:rsidRPr="2179E45D" w:rsidR="768E1E1B">
        <w:rPr>
          <w:b w:val="1"/>
          <w:bCs w:val="1"/>
        </w:rPr>
        <w:t> Ben </w:t>
      </w:r>
      <w:r w:rsidRPr="2179E45D" w:rsidR="768E1E1B">
        <w:rPr>
          <w:b w:val="1"/>
          <w:bCs w:val="1"/>
        </w:rPr>
        <w:t>Temime</w:t>
      </w:r>
      <w:r w:rsidRPr="2179E45D" w:rsidR="768E1E1B">
        <w:rPr>
          <w:b w:val="1"/>
          <w:bCs w:val="1"/>
        </w:rPr>
        <w:t xml:space="preserve"> (28 ans) et Sirine </w:t>
      </w:r>
      <w:r w:rsidRPr="2179E45D" w:rsidR="768E1E1B">
        <w:rPr>
          <w:b w:val="1"/>
          <w:bCs w:val="1"/>
        </w:rPr>
        <w:t>Ayari</w:t>
      </w:r>
      <w:r w:rsidRPr="2179E45D" w:rsidR="768E1E1B">
        <w:rPr>
          <w:b w:val="1"/>
          <w:bCs w:val="1"/>
        </w:rPr>
        <w:t xml:space="preserve"> (28 ans)</w:t>
      </w:r>
      <w:r w:rsidR="768E1E1B">
        <w:rPr/>
        <w:t xml:space="preserve"> ont développé le système intelligent de commande de fauteuil roulant MOOVOBRAIN, une technologie qui</w:t>
      </w:r>
      <w:r w:rsidRPr="2179E45D" w:rsidR="768E1E1B">
        <w:rPr>
          <w:b w:val="1"/>
          <w:bCs w:val="1"/>
        </w:rPr>
        <w:t xml:space="preserve"> permet aux personnes d'utiliser leur fauteuil roulant à l'aide de la voix, de signaux cérébraux, d'expressions faciales ou d'un pavé tactile.</w:t>
      </w:r>
      <w:r w:rsidR="768E1E1B">
        <w:rPr/>
        <w:t xml:space="preserve"> Cette innovation offre une nouvelle autonomie à celles et ceux qui sont souvent mis à l'écart par les technologies d'assistance conventionnelles. </w:t>
      </w:r>
      <w:r w:rsidRPr="2179E45D" w:rsidR="768E1E1B">
        <w:rPr>
          <w:b w:val="1"/>
          <w:bCs w:val="1"/>
        </w:rPr>
        <w:t xml:space="preserve">Nommée pour le Young </w:t>
      </w:r>
      <w:r w:rsidRPr="2179E45D" w:rsidR="768E1E1B">
        <w:rPr>
          <w:b w:val="1"/>
          <w:bCs w:val="1"/>
        </w:rPr>
        <w:t>Inventors</w:t>
      </w:r>
      <w:r w:rsidRPr="2179E45D" w:rsidR="768E1E1B">
        <w:rPr>
          <w:b w:val="1"/>
          <w:bCs w:val="1"/>
        </w:rPr>
        <w:t xml:space="preserve"> </w:t>
      </w:r>
      <w:r w:rsidRPr="2179E45D" w:rsidR="768E1E1B">
        <w:rPr>
          <w:b w:val="1"/>
          <w:bCs w:val="1"/>
        </w:rPr>
        <w:t>Prize</w:t>
      </w:r>
      <w:r w:rsidRPr="2179E45D" w:rsidR="768E1E1B">
        <w:rPr>
          <w:b w:val="1"/>
          <w:bCs w:val="1"/>
        </w:rPr>
        <w:t xml:space="preserve"> dans le cadre du Prix de l'inventeur européen 2024</w:t>
      </w:r>
      <w:r w:rsidR="768E1E1B">
        <w:rPr/>
        <w:t>, l'équipe œuvre en faveur de la réalisation de deux des objectifs de développement durable (ODD) des Nations Unis grâce à son système MOOVOBRAIN. Les jeunes inventrices ont été sélectionnées parmi plus de 550 candidates et candidats pour l'édition de cette année.</w:t>
      </w:r>
    </w:p>
    <w:p w:rsidR="00937664" w:rsidP="26FF0412" w:rsidRDefault="7FD86781" w14:paraId="6CCF80BC" w14:textId="77777777">
      <w:pPr>
        <w:spacing w:before="240" w:after="240" w:line="240" w:lineRule="auto"/>
        <w:jc w:val="both"/>
        <w:rPr>
          <w:b/>
          <w:bCs/>
          <w:color w:val="BE0F05"/>
        </w:rPr>
      </w:pPr>
      <w:r>
        <w:rPr>
          <w:b/>
          <w:color w:val="BE0F05"/>
        </w:rPr>
        <w:t>Insister sur la diversité et l'inclusion</w:t>
      </w:r>
    </w:p>
    <w:p w:rsidR="00937664" w:rsidP="26FF0412" w:rsidRDefault="768E1E1B" w14:paraId="6CCF80BD" w14:textId="6BB8D8A4">
      <w:pPr>
        <w:spacing w:before="240" w:after="240" w:line="240" w:lineRule="auto"/>
        <w:jc w:val="both"/>
      </w:pPr>
      <w:r>
        <w:t xml:space="preserve">Le système MOOVOBRAIN introduit une nouvelle méthode de commande de fauteuil roulant, adaptée aux divers besoins des utilisateurs. Il comporte </w:t>
      </w:r>
      <w:r>
        <w:rPr>
          <w:b/>
        </w:rPr>
        <w:t>quatre modes de conduite intuitifs</w:t>
      </w:r>
      <w:r>
        <w:t xml:space="preserve"> : le mode de conduite vocale permet le fonctionnement par commandes vocales ; le mode de conduite cérébrale utilise un casque spécialisé qui détecte les signaux cérébraux ; le mode de conduite "grimace" permet de commander le fauteuil roulant à l'aide d'expressions faciales ; et le mode de conduite manuelle fournit une interface d'application sur smartphone ou pavé tactile aux personnes qui ont des capacités manuelles. Ce système, conçu par la société émergente de l'équipe, GEWINNER, est destiné à </w:t>
      </w:r>
      <w:r>
        <w:rPr>
          <w:b/>
        </w:rPr>
        <w:t xml:space="preserve">améliorer la qualité de vie des personnes à mobilité réduite </w:t>
      </w:r>
      <w:r>
        <w:t xml:space="preserve">à travers le monde, en garantissant accessibilité et autonomie. Les quatre modes de conduite répondent à des besoins, des handicaps et des conditions de santé de différentes natures. Accessible aux personnes qui peuvent parler ou non, ce système est une solution quatre-en-un avec un impact potentiel décuplé. En outre, il peut être adapté aux fauteuils roulants conventionnels. </w:t>
      </w:r>
    </w:p>
    <w:p w:rsidR="00937664" w:rsidP="503CC792" w:rsidRDefault="1DCE8D40" w14:paraId="6CCF80BE" w14:textId="7668A50C">
      <w:pPr>
        <w:spacing w:before="240" w:after="240" w:line="240" w:lineRule="auto"/>
        <w:jc w:val="both"/>
      </w:pPr>
      <w:r w:rsidR="1DCE8D40">
        <w:rPr/>
        <w:t>De plus, le système MOOVOBRAIN s'intéresse également aux assistants et aux soignants, offrant des fonctionnalités telles que le suivi du fauteuil roulant et de la batterie du téléphone de l'utilisateur en temps réel, ainsi que la réception de notifications et d'alertes. Cette approche globale répond non seulement à un large éventail de handicaps, mais insiste également sur l'autonomie de l'utilisateur, la sécurité et la connectivité.</w:t>
      </w:r>
    </w:p>
    <w:p w:rsidR="00937664" w:rsidP="446A1C63" w:rsidRDefault="144BE490" w14:paraId="6CCF80BF" w14:textId="33528F6E">
      <w:pPr>
        <w:pStyle w:val="Normal"/>
        <w:spacing w:before="240" w:after="240" w:line="240" w:lineRule="auto"/>
        <w:jc w:val="both"/>
      </w:pPr>
      <w:r w:rsidRPr="446A1C63" w:rsidR="64D16600">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fr-FR"/>
        </w:rPr>
        <w:t>«</w:t>
      </w:r>
      <w:r w:rsidRPr="446A1C63" w:rsidR="64D16600">
        <w:rPr>
          <w:rFonts w:ascii="Arial" w:hAnsi="Arial" w:eastAsia="Arial" w:cs="Arial"/>
          <w:noProof w:val="0"/>
          <w:sz w:val="22"/>
          <w:szCs w:val="22"/>
          <w:lang w:val="fr-FR"/>
        </w:rPr>
        <w:t xml:space="preserve"> </w:t>
      </w:r>
      <w:r w:rsidRPr="446A1C63" w:rsidR="144BE490">
        <w:rPr>
          <w:i w:val="1"/>
          <w:iCs w:val="1"/>
        </w:rPr>
        <w:t>Nous sommes toujours en contact avec les utilisateurs de fauteuils roulants pour améliorer continuellement notre système et les aider à acquérir plus d'autonomie, en leur permettant de se déplacer sans l'aide des autres. Nous voulons leur offrir une solution, pour qu'ils ne se sentent pas piégés chez eux ou qu'ils ne dépendent pas toujours des autres pour se déplacer</w:t>
      </w:r>
      <w:r w:rsidRPr="446A1C63" w:rsidR="207961BE">
        <w:rPr>
          <w:rFonts w:ascii="Arial" w:hAnsi="Arial" w:eastAsia="Arial" w:cs="Arial"/>
          <w:b w:val="0"/>
          <w:bCs w:val="0"/>
          <w:i w:val="1"/>
          <w:iCs w:val="1"/>
          <w:caps w:val="0"/>
          <w:smallCaps w:val="0"/>
          <w:strike w:val="0"/>
          <w:dstrike w:val="0"/>
          <w:noProof w:val="0"/>
          <w:color w:val="000000" w:themeColor="text1" w:themeTint="FF" w:themeShade="FF"/>
          <w:sz w:val="22"/>
          <w:szCs w:val="22"/>
          <w:u w:val="none"/>
          <w:lang w:val="fr-FR"/>
        </w:rPr>
        <w:t xml:space="preserve"> »</w:t>
      </w:r>
      <w:r w:rsidRPr="446A1C63" w:rsidR="144BE490">
        <w:rPr>
          <w:i w:val="1"/>
          <w:iCs w:val="1"/>
        </w:rPr>
        <w:t>,</w:t>
      </w:r>
      <w:r w:rsidR="144BE490">
        <w:rPr/>
        <w:t xml:space="preserve"> explique </w:t>
      </w:r>
      <w:r w:rsidR="144BE490">
        <w:rPr/>
        <w:t>Khaoula</w:t>
      </w:r>
      <w:r w:rsidR="144BE490">
        <w:rPr/>
        <w:t xml:space="preserve"> Ben Ahmed, PDG et co-fondatrice de GEWINNER. </w:t>
      </w:r>
    </w:p>
    <w:p w:rsidR="00937664" w:rsidP="26FF0412" w:rsidRDefault="144BE490" w14:paraId="6CCF80C0" w14:textId="77777777">
      <w:pPr>
        <w:spacing w:before="240" w:after="240" w:line="240" w:lineRule="auto"/>
        <w:jc w:val="both"/>
        <w:rPr>
          <w:b/>
          <w:bCs/>
          <w:color w:val="CC0000"/>
        </w:rPr>
      </w:pPr>
      <w:r>
        <w:rPr>
          <w:b/>
          <w:color w:val="BE0F05"/>
        </w:rPr>
        <w:t>Transformer des vies grâce à l'innovation</w:t>
      </w:r>
    </w:p>
    <w:p w:rsidR="00937664" w:rsidP="26FF0412" w:rsidRDefault="5CFD322F" w14:paraId="6CCF80C1" w14:textId="5978673D">
      <w:pPr>
        <w:spacing w:line="240" w:lineRule="auto"/>
        <w:jc w:val="both"/>
        <w:rPr>
          <w:b/>
          <w:bCs/>
        </w:rPr>
      </w:pPr>
      <w:r>
        <w:t>Pendant ses études à l'Institut Supérieur des Technologies Médicales de Tunis, la jeune équipe a développé le système MOOVOBRAIN après que l'une des inventrices a vu un membre de sa famille frappé d'une invalidité soudaine. Cela a mis en évidence le</w:t>
      </w:r>
      <w:r>
        <w:rPr>
          <w:b/>
        </w:rPr>
        <w:t xml:space="preserve"> besoin urgent de technologies d'assistance plus adaptables.</w:t>
      </w:r>
    </w:p>
    <w:p w:rsidR="00937664" w:rsidP="26FF0412" w:rsidRDefault="00937664" w14:paraId="6CCF80C2" w14:textId="77777777">
      <w:pPr>
        <w:spacing w:line="240" w:lineRule="auto"/>
        <w:jc w:val="both"/>
        <w:rPr>
          <w:lang w:val="en-GB"/>
        </w:rPr>
      </w:pPr>
    </w:p>
    <w:p w:rsidR="00937664" w:rsidP="26FF0412" w:rsidRDefault="144BE490" w14:paraId="6CCF80C3" w14:textId="62A42250">
      <w:pPr>
        <w:spacing w:line="240" w:lineRule="auto"/>
        <w:jc w:val="both"/>
      </w:pPr>
      <w:r>
        <w:t>Depuis sa création en 2019, la société GEWINNER a été reconnue par le label tunisien Startup Act pour ses contributions innovantes, a participé à des événements technologiques internationaux comme VivaTech Paris et a remporté plusieurs prix d'excellence technologique. L'équipe a également bénéficié d'un parrainage par le biais d'un programme de la Banque européenne d'investissement, qui lui a fourni une expertise dans le domaine financier et en matière de planification des activités.</w:t>
      </w:r>
    </w:p>
    <w:p w:rsidR="26FF0412" w:rsidP="26FF0412" w:rsidRDefault="26FF0412" w14:paraId="6CCF80C4" w14:textId="77777777">
      <w:pPr>
        <w:spacing w:line="240" w:lineRule="auto"/>
        <w:jc w:val="both"/>
        <w:rPr>
          <w:lang w:val="en-GB"/>
        </w:rPr>
      </w:pPr>
    </w:p>
    <w:p w:rsidR="7C22D297" w:rsidP="26FF0412" w:rsidRDefault="2D1A363A" w14:paraId="6CCF80C5" w14:textId="6028498A">
      <w:pPr>
        <w:spacing w:line="240" w:lineRule="auto"/>
        <w:jc w:val="both"/>
      </w:pPr>
      <w:r>
        <w:t>Le système MOOVOBRAIN contribue directement à l'objectif de développement durable (ODD) 3 des Nations Unies (bonne santé et bien-être) et à l'ODD 10 (réduire les inégalités). En offrant une solution innovante qui améliore la mobilité et l'autonomie, l'invention répond aux problèmes de santé et de bien-être d'une partie importante de la population mondiale qui rencontre des difficultés au quotidien en raison d'une mobilité réduite. En s'adaptant à divers handicaps avec ses multiples modes de commande, MOOVOBRAIN offre des possibilités plus grandes en matière de mobilité et de participation à la vie sociale.</w:t>
      </w:r>
    </w:p>
    <w:p w:rsidR="00937664" w:rsidP="26FF0412" w:rsidRDefault="00937664" w14:paraId="6CCF80C6" w14:textId="77777777">
      <w:pPr>
        <w:spacing w:line="240" w:lineRule="auto"/>
        <w:jc w:val="both"/>
        <w:rPr>
          <w:lang w:val="en-GB"/>
        </w:rPr>
      </w:pPr>
    </w:p>
    <w:p w:rsidR="00937664" w:rsidP="446A1C63" w:rsidRDefault="144BE490" w14:paraId="6CCF80C7" w14:textId="28C5F3BE">
      <w:pPr>
        <w:pStyle w:val="Normal"/>
        <w:spacing w:line="240" w:lineRule="auto"/>
        <w:jc w:val="both"/>
        <w:rPr>
          <w:rFonts w:ascii="Arial" w:hAnsi="Arial" w:eastAsia="Arial" w:cs="Arial"/>
          <w:noProof w:val="0"/>
          <w:sz w:val="22"/>
          <w:szCs w:val="22"/>
          <w:lang w:val="fr-FR"/>
        </w:rPr>
      </w:pPr>
      <w:r w:rsidR="144BE490">
        <w:rPr/>
        <w:t xml:space="preserve">Revenant sur le chemin parcouru et réfléchissant à la motivation permanente nécessaire au développement de MOOVOBRAIN, </w:t>
      </w:r>
      <w:r w:rsidR="144BE490">
        <w:rPr/>
        <w:t>Souleima</w:t>
      </w:r>
      <w:r w:rsidR="144BE490">
        <w:rPr/>
        <w:t> Ben </w:t>
      </w:r>
      <w:r w:rsidR="144BE490">
        <w:rPr/>
        <w:t>Temime</w:t>
      </w:r>
      <w:r w:rsidR="144BE490">
        <w:rPr/>
        <w:t xml:space="preserve"> est enthousiaste : </w:t>
      </w:r>
      <w:r w:rsidRPr="446A1C63" w:rsidR="46027D2A">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fr-FR"/>
        </w:rPr>
        <w:t>«</w:t>
      </w:r>
      <w:r w:rsidRPr="446A1C63" w:rsidR="46027D2A">
        <w:rPr>
          <w:rFonts w:ascii="Arial" w:hAnsi="Arial" w:eastAsia="Arial" w:cs="Arial"/>
          <w:noProof w:val="0"/>
          <w:sz w:val="22"/>
          <w:szCs w:val="22"/>
          <w:lang w:val="fr-FR"/>
        </w:rPr>
        <w:t xml:space="preserve"> </w:t>
      </w:r>
      <w:r w:rsidRPr="446A1C63" w:rsidR="144BE490">
        <w:rPr>
          <w:i w:val="1"/>
          <w:iCs w:val="1"/>
        </w:rPr>
        <w:t>C'est formidable de voir l'impact que nous avons sur notre société. C'est le carburant dont nous avons besoin pour continuer le projet, d'autant plus que ce n'est pas facile de travailler avec des technologies de pointe dans un marché mondialisé qui nous oblige à être en contact avec beaucoup de gens, à assister à des salons et à voyager à travers le monde.</w:t>
      </w:r>
      <w:r w:rsidRPr="446A1C63" w:rsidR="34DAF30E">
        <w:rPr>
          <w:rFonts w:ascii="Arial" w:hAnsi="Arial" w:eastAsia="Arial" w:cs="Arial"/>
          <w:b w:val="0"/>
          <w:bCs w:val="0"/>
          <w:i w:val="1"/>
          <w:iCs w:val="1"/>
          <w:caps w:val="0"/>
          <w:smallCaps w:val="0"/>
          <w:strike w:val="0"/>
          <w:dstrike w:val="0"/>
          <w:noProof w:val="0"/>
          <w:color w:val="000000" w:themeColor="text1" w:themeTint="FF" w:themeShade="FF"/>
          <w:sz w:val="22"/>
          <w:szCs w:val="22"/>
          <w:u w:val="none"/>
          <w:lang w:val="fr-FR"/>
        </w:rPr>
        <w:t xml:space="preserve"> »</w:t>
      </w:r>
    </w:p>
    <w:p w:rsidR="00937664" w:rsidP="26FF0412" w:rsidRDefault="00937664" w14:paraId="6CCF80C8" w14:textId="77777777">
      <w:pPr>
        <w:spacing w:line="240" w:lineRule="auto"/>
        <w:jc w:val="both"/>
        <w:rPr>
          <w:i/>
          <w:iCs/>
          <w:color w:val="FF0000"/>
          <w:lang w:val="en-GB"/>
        </w:rPr>
      </w:pPr>
    </w:p>
    <w:p w:rsidR="00937664" w:rsidP="26FF0412" w:rsidRDefault="768E1E1B" w14:paraId="6CCF80C9" w14:textId="6E9CBC64">
      <w:pPr>
        <w:spacing w:line="240" w:lineRule="auto"/>
        <w:jc w:val="both"/>
      </w:pPr>
      <w:r w:rsidR="768E1E1B">
        <w:rPr/>
        <w:t xml:space="preserve">L'équipe tunisienne derrière cette innovation a été sélectionnée parmi les trois finalistes du Young </w:t>
      </w:r>
      <w:r w:rsidR="768E1E1B">
        <w:rPr/>
        <w:t>Inventors</w:t>
      </w:r>
      <w:r w:rsidR="768E1E1B">
        <w:rPr/>
        <w:t xml:space="preserve"> </w:t>
      </w:r>
      <w:r w:rsidR="768E1E1B">
        <w:rPr/>
        <w:t>Prize</w:t>
      </w:r>
      <w:r w:rsidR="768E1E1B">
        <w:rPr/>
        <w:t>, décerné dans le cadre du Prix de l'inventeur européen de cette année, récompensant les inventeurs exceptionnels âgés de moins de 30 ans</w:t>
      </w:r>
      <w:r w:rsidRPr="1101F479" w:rsidR="768E1E1B">
        <w:rPr>
          <w:b w:val="1"/>
          <w:bCs w:val="1"/>
        </w:rPr>
        <w:t xml:space="preserve">. </w:t>
      </w:r>
      <w:r w:rsidR="4881F017">
        <w:rPr>
          <w:b w:val="0"/>
          <w:bCs w:val="0"/>
        </w:rPr>
        <w:t xml:space="preserve">Les autres finalistes sont la Néerlandaise Rochelle </w:t>
      </w:r>
      <w:r w:rsidR="4881F017">
        <w:rPr>
          <w:b w:val="0"/>
          <w:bCs w:val="0"/>
        </w:rPr>
        <w:t>Niemeijer</w:t>
      </w:r>
      <w:r w:rsidR="4881F017">
        <w:rPr>
          <w:b w:val="0"/>
          <w:bCs w:val="0"/>
        </w:rPr>
        <w:t xml:space="preserve">, dont le kit de test portable pour l'identification rapide des infections bactériennes pourrait être crucial dans la lutte contre la résistance aux antibiotiques, et l'Ukrainien </w:t>
      </w:r>
      <w:r w:rsidR="4881F017">
        <w:rPr>
          <w:b w:val="0"/>
          <w:bCs w:val="0"/>
        </w:rPr>
        <w:t>Valentyn</w:t>
      </w:r>
      <w:r w:rsidR="4881F017">
        <w:rPr>
          <w:b w:val="0"/>
          <w:bCs w:val="0"/>
        </w:rPr>
        <w:t xml:space="preserve"> </w:t>
      </w:r>
      <w:r w:rsidR="4881F017">
        <w:rPr>
          <w:b w:val="0"/>
          <w:bCs w:val="0"/>
        </w:rPr>
        <w:t>Frechka</w:t>
      </w:r>
      <w:r w:rsidR="4881F017">
        <w:rPr>
          <w:b w:val="0"/>
          <w:bCs w:val="0"/>
        </w:rPr>
        <w:t>, qui a mis au point une méthode pour convertir les feuilles mortes en papier recyclable, réduisant ainsi la déforestation et les émissions de CO2.</w:t>
      </w:r>
      <w:r w:rsidRPr="1101F479" w:rsidR="4881F017">
        <w:rPr>
          <w:b w:val="1"/>
          <w:bCs w:val="1"/>
        </w:rPr>
        <w:t xml:space="preserve"> </w:t>
      </w:r>
      <w:r w:rsidRPr="1101F479" w:rsidR="768E1E1B">
        <w:rPr>
          <w:b w:val="1"/>
          <w:bCs w:val="1"/>
        </w:rPr>
        <w:t xml:space="preserve">Les lauréats de l'édition de 2024 du Prix de l'inventeur européen et du Young </w:t>
      </w:r>
      <w:r w:rsidRPr="1101F479" w:rsidR="768E1E1B">
        <w:rPr>
          <w:b w:val="1"/>
          <w:bCs w:val="1"/>
        </w:rPr>
        <w:t>Inventors</w:t>
      </w:r>
      <w:r w:rsidRPr="1101F479" w:rsidR="768E1E1B">
        <w:rPr>
          <w:b w:val="1"/>
          <w:bCs w:val="1"/>
        </w:rPr>
        <w:t xml:space="preserve"> </w:t>
      </w:r>
      <w:r w:rsidRPr="1101F479" w:rsidR="768E1E1B">
        <w:rPr>
          <w:b w:val="1"/>
          <w:bCs w:val="1"/>
        </w:rPr>
        <w:t>Prize</w:t>
      </w:r>
      <w:r w:rsidRPr="1101F479" w:rsidR="768E1E1B">
        <w:rPr>
          <w:b w:val="1"/>
          <w:bCs w:val="1"/>
        </w:rPr>
        <w:t xml:space="preserve"> seront annoncés </w:t>
      </w:r>
      <w:r w:rsidR="768E1E1B">
        <w:rPr/>
        <w:t xml:space="preserve">au cours d'une cérémonie </w:t>
      </w:r>
      <w:hyperlink r:id="R9a8df56c0d2f43c2">
        <w:r w:rsidRPr="1101F479" w:rsidR="768E1E1B">
          <w:rPr>
            <w:rStyle w:val="Hyperlink"/>
          </w:rPr>
          <w:t>retransmise en direct</w:t>
        </w:r>
      </w:hyperlink>
      <w:r w:rsidR="768E1E1B">
        <w:rPr/>
        <w:t xml:space="preserve"> depuis Malte, le 9 juillet 2024. </w:t>
      </w:r>
    </w:p>
    <w:p w:rsidR="00937664" w:rsidP="26FF0412" w:rsidRDefault="005360FD" w14:paraId="6CCF80CA" w14:textId="0E392E38">
      <w:pPr>
        <w:spacing w:line="240" w:lineRule="auto"/>
        <w:jc w:val="both"/>
        <w:rPr>
          <w:color w:val="00000A"/>
          <w:highlight w:val="yellow"/>
        </w:rPr>
      </w:pPr>
      <w:r>
        <w:br/>
      </w:r>
      <w:r w:rsidRPr="1101F479" w:rsidR="005360FD">
        <w:rPr>
          <w:color w:val="00000A"/>
        </w:rPr>
        <w:t>Découvrez plus d'informations sur l'impact de l'invention, la technologie utilisée et les histoires des inventrices</w:t>
      </w:r>
      <w:r w:rsidRPr="1101F479" w:rsidR="0844D791">
        <w:rPr>
          <w:color w:val="00000A"/>
        </w:rPr>
        <w:t xml:space="preserve"> </w:t>
      </w:r>
      <w:hyperlink r:id="R4bf89f245b764dd3">
        <w:r w:rsidRPr="1101F479" w:rsidR="0844D791">
          <w:rPr>
            <w:rStyle w:val="Hyperlink"/>
          </w:rPr>
          <w:t>ici</w:t>
        </w:r>
      </w:hyperlink>
      <w:r w:rsidRPr="1101F479" w:rsidR="0844D791">
        <w:rPr>
          <w:color w:val="00000A"/>
        </w:rPr>
        <w:t>.</w:t>
      </w:r>
    </w:p>
    <w:p w:rsidR="00937664" w:rsidP="26FF0412" w:rsidRDefault="00937664" w14:paraId="6CCF80CB" w14:textId="77777777">
      <w:pPr>
        <w:spacing w:line="240" w:lineRule="auto"/>
        <w:jc w:val="both"/>
        <w:rPr>
          <w:lang w:val="en-GB"/>
        </w:rPr>
      </w:pPr>
    </w:p>
    <w:p w:rsidR="00937664" w:rsidP="26FF0412" w:rsidRDefault="00937664" w14:paraId="6CCF80CC" w14:textId="77777777">
      <w:pPr>
        <w:spacing w:line="360" w:lineRule="auto"/>
        <w:rPr>
          <w:b/>
          <w:bCs/>
          <w:lang w:val="en-GB"/>
        </w:rPr>
      </w:pPr>
    </w:p>
    <w:p w:rsidR="00937664" w:rsidP="26FF0412" w:rsidRDefault="144BE490" w14:paraId="6CCF80CD" w14:textId="77777777">
      <w:pPr>
        <w:spacing w:after="160" w:line="259" w:lineRule="auto"/>
        <w:rPr>
          <w:sz w:val="20"/>
          <w:szCs w:val="20"/>
        </w:rPr>
      </w:pPr>
      <w:r>
        <w:rPr>
          <w:b/>
          <w:sz w:val="20"/>
        </w:rPr>
        <w:t>Relations avec les médias – Office européen des brevets</w:t>
      </w:r>
    </w:p>
    <w:p w:rsidR="00937664" w:rsidP="26FF0412" w:rsidRDefault="144BE490" w14:paraId="6CCF80CE" w14:textId="77777777">
      <w:pPr>
        <w:spacing w:line="240" w:lineRule="auto"/>
        <w:rPr>
          <w:sz w:val="20"/>
          <w:szCs w:val="20"/>
        </w:rPr>
      </w:pPr>
      <w:r>
        <w:rPr>
          <w:b/>
          <w:sz w:val="20"/>
        </w:rPr>
        <w:lastRenderedPageBreak/>
        <w:t>Luis Berenguer Giménez</w:t>
      </w:r>
      <w:r>
        <w:rPr>
          <w:sz w:val="20"/>
        </w:rPr>
        <w:t xml:space="preserve"> </w:t>
      </w:r>
      <w:r>
        <w:br/>
      </w:r>
      <w:r>
        <w:rPr>
          <w:sz w:val="20"/>
        </w:rPr>
        <w:t>Directeur principal Communication / Porte-parole de l'OEB</w:t>
      </w:r>
    </w:p>
    <w:p w:rsidR="00937664" w:rsidP="26FF0412" w:rsidRDefault="00937664" w14:paraId="6CCF80CF" w14:textId="77777777">
      <w:pPr>
        <w:spacing w:line="240" w:lineRule="auto"/>
        <w:rPr>
          <w:b/>
          <w:bCs/>
          <w:sz w:val="20"/>
          <w:szCs w:val="20"/>
          <w:lang w:val="en-GB"/>
        </w:rPr>
      </w:pPr>
    </w:p>
    <w:p w:rsidR="00937664" w:rsidP="26FF0412" w:rsidRDefault="144BE490" w14:paraId="6CCF80D0" w14:textId="77777777">
      <w:pPr>
        <w:spacing w:line="240" w:lineRule="auto"/>
        <w:rPr>
          <w:sz w:val="20"/>
          <w:szCs w:val="20"/>
        </w:rPr>
      </w:pPr>
      <w:r>
        <w:rPr>
          <w:b/>
          <w:sz w:val="20"/>
        </w:rPr>
        <w:t>Service presse de l'OEB</w:t>
      </w:r>
    </w:p>
    <w:p w:rsidR="00937664" w:rsidP="26FF0412" w:rsidRDefault="005E2F1F" w14:paraId="6CCF80D1" w14:textId="77777777">
      <w:pPr>
        <w:rPr>
          <w:b/>
          <w:bCs/>
          <w:sz w:val="18"/>
          <w:szCs w:val="18"/>
        </w:rPr>
      </w:pPr>
      <w:hyperlink r:id="Rcac434e5d9ad4c21">
        <w:r w:rsidRPr="1101F479" w:rsidR="007A4DF3">
          <w:rPr>
            <w:color w:val="0000FF"/>
            <w:sz w:val="20"/>
            <w:szCs w:val="20"/>
            <w:u w:val="single"/>
          </w:rPr>
          <w:t>press@epo.org</w:t>
        </w:r>
      </w:hyperlink>
      <w:r w:rsidRPr="1101F479" w:rsidR="007A4DF3">
        <w:rPr>
          <w:sz w:val="20"/>
          <w:szCs w:val="20"/>
        </w:rPr>
        <w:t xml:space="preserve"> </w:t>
      </w:r>
      <w:r>
        <w:br/>
      </w:r>
      <w:r w:rsidRPr="1101F479" w:rsidR="007A4DF3">
        <w:rPr>
          <w:sz w:val="20"/>
          <w:szCs w:val="20"/>
        </w:rPr>
        <w:t>Tél. : +49 89 2399-1833</w:t>
      </w:r>
      <w:r>
        <w:br/>
      </w:r>
    </w:p>
    <w:p w:rsidR="73CA438C" w:rsidP="1101F479" w:rsidRDefault="73CA438C" w14:paraId="7C0BA867" w14:textId="03D34F17">
      <w:pPr>
        <w:pStyle w:val="Normal0"/>
        <w:spacing w:before="240" w:after="240"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GB"/>
        </w:rPr>
      </w:pPr>
      <w:r w:rsidRPr="1101F479" w:rsidR="73CA438C">
        <w:rPr>
          <w:rFonts w:ascii="Arial" w:hAnsi="Arial" w:eastAsia="Arial" w:cs="Arial"/>
          <w:b w:val="1"/>
          <w:bCs w:val="1"/>
          <w:i w:val="0"/>
          <w:iCs w:val="0"/>
          <w:caps w:val="0"/>
          <w:smallCaps w:val="0"/>
          <w:noProof w:val="0"/>
          <w:color w:val="000000" w:themeColor="text1" w:themeTint="FF" w:themeShade="FF"/>
          <w:sz w:val="18"/>
          <w:szCs w:val="18"/>
          <w:lang w:val="fr-FR"/>
        </w:rPr>
        <w:t>À propos du Young Inventors Prize</w:t>
      </w:r>
    </w:p>
    <w:p w:rsidR="73CA438C" w:rsidP="1101F479" w:rsidRDefault="73CA438C" w14:paraId="3DD61274" w14:textId="77C7D9DF">
      <w:pPr>
        <w:pStyle w:val="Normal0"/>
        <w:spacing w:before="240" w:after="240"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GB"/>
        </w:rPr>
      </w:pPr>
      <w:r w:rsidRPr="1101F479" w:rsidR="73CA438C">
        <w:rPr>
          <w:rFonts w:ascii="Arial" w:hAnsi="Arial" w:eastAsia="Arial" w:cs="Arial"/>
          <w:b w:val="0"/>
          <w:bCs w:val="0"/>
          <w:i w:val="0"/>
          <w:iCs w:val="0"/>
          <w:caps w:val="0"/>
          <w:smallCaps w:val="0"/>
          <w:noProof w:val="0"/>
          <w:color w:val="000000" w:themeColor="text1" w:themeTint="FF" w:themeShade="FF"/>
          <w:sz w:val="18"/>
          <w:szCs w:val="18"/>
          <w:lang w:val="fr-FR"/>
        </w:rPr>
        <w:t xml:space="preserve">L'Office européen des brevets a créé le Young Inventors Prize en 2021 pour inspirer la prochaine génération d'inventeurs et d'inventrices. Le prix s'adresse aux innovateurs et innovatrices du monde entier âgé(e)s de 30 ans ou moins et reconnaît les initiatives qui utilisent la technologie pour contribuer aux objectifs de développement durable des Nations Unies. Le lauréat ou la lauréate reçoit 20 000 EUR et les finalistes arrivant en deuxième et troisième position reçoivent respectivement 10 000 EUR et 5 000 EUR. Un jury indépendant composé d'anciens finalistes du Prix de l'inventeur européen et du Young Inventors Prize sélectionne les finalistes et les lauréats. L'OEB remettra le prix lors de la cérémonie hybride du Prix de l'inventeur européen 2024, le 9 juillet. Contrairement aux catégories traditionnelles, les finalistes du Young Inventors Prize n'ont pas besoin de détenir un brevet européen pour être candidats pour ce prix. </w:t>
      </w:r>
      <w:hyperlink w:anchor="prizes" r:id="Ra0f31fce786c4803">
        <w:r w:rsidRPr="1101F479" w:rsidR="73CA438C">
          <w:rPr>
            <w:rStyle w:val="Hyperlink"/>
            <w:rFonts w:ascii="Arial" w:hAnsi="Arial" w:eastAsia="Arial" w:cs="Arial"/>
            <w:b w:val="0"/>
            <w:bCs w:val="0"/>
            <w:i w:val="0"/>
            <w:iCs w:val="0"/>
            <w:caps w:val="0"/>
            <w:smallCaps w:val="0"/>
            <w:strike w:val="0"/>
            <w:dstrike w:val="0"/>
            <w:noProof w:val="0"/>
            <w:sz w:val="18"/>
            <w:szCs w:val="18"/>
            <w:lang w:val="fr-FR"/>
          </w:rPr>
          <w:t>En savoir plus</w:t>
        </w:r>
      </w:hyperlink>
      <w:r w:rsidRPr="1101F479" w:rsidR="73CA438C">
        <w:rPr>
          <w:rFonts w:ascii="Arial" w:hAnsi="Arial" w:eastAsia="Arial" w:cs="Arial"/>
          <w:b w:val="0"/>
          <w:bCs w:val="0"/>
          <w:i w:val="0"/>
          <w:iCs w:val="0"/>
          <w:caps w:val="0"/>
          <w:smallCaps w:val="0"/>
          <w:noProof w:val="0"/>
          <w:color w:val="000000" w:themeColor="text1" w:themeTint="FF" w:themeShade="FF"/>
          <w:sz w:val="18"/>
          <w:szCs w:val="18"/>
          <w:lang w:val="fr-FR"/>
        </w:rPr>
        <w:t xml:space="preserve"> sur les critères d'admissibilité et de sélection du Young Inventors Prize.</w:t>
      </w:r>
    </w:p>
    <w:p w:rsidR="73CA438C" w:rsidP="1101F479" w:rsidRDefault="73CA438C" w14:paraId="2268B2B2" w14:textId="048197B5">
      <w:pPr>
        <w:spacing w:before="240" w:after="240"/>
        <w:jc w:val="both"/>
        <w:rPr>
          <w:rFonts w:ascii="Arial" w:hAnsi="Arial" w:eastAsia="Arial" w:cs="Arial"/>
          <w:b w:val="0"/>
          <w:bCs w:val="0"/>
          <w:i w:val="0"/>
          <w:iCs w:val="0"/>
          <w:caps w:val="0"/>
          <w:smallCaps w:val="0"/>
          <w:noProof w:val="0"/>
          <w:color w:val="000000" w:themeColor="text1" w:themeTint="FF" w:themeShade="FF"/>
          <w:sz w:val="18"/>
          <w:szCs w:val="18"/>
          <w:lang w:val="en-GB"/>
        </w:rPr>
      </w:pPr>
      <w:r w:rsidRPr="1101F479" w:rsidR="73CA438C">
        <w:rPr>
          <w:rFonts w:ascii="Arial" w:hAnsi="Arial" w:eastAsia="Arial" w:cs="Arial"/>
          <w:b w:val="1"/>
          <w:bCs w:val="1"/>
          <w:i w:val="0"/>
          <w:iCs w:val="0"/>
          <w:caps w:val="0"/>
          <w:smallCaps w:val="0"/>
          <w:strike w:val="0"/>
          <w:dstrike w:val="0"/>
          <w:noProof w:val="0"/>
          <w:color w:val="000000" w:themeColor="text1" w:themeTint="FF" w:themeShade="FF"/>
          <w:sz w:val="18"/>
          <w:szCs w:val="18"/>
          <w:u w:val="none"/>
          <w:lang w:val="fr-FR"/>
        </w:rPr>
        <w:t xml:space="preserve">À propos du Prix de l’inventeur européen </w:t>
      </w:r>
      <w:r w:rsidRPr="1101F479" w:rsidR="73CA438C">
        <w:rPr>
          <w:rFonts w:ascii="Arial" w:hAnsi="Arial" w:eastAsia="Arial" w:cs="Arial"/>
          <w:b w:val="0"/>
          <w:bCs w:val="0"/>
          <w:i w:val="0"/>
          <w:iCs w:val="0"/>
          <w:caps w:val="0"/>
          <w:smallCaps w:val="0"/>
          <w:noProof w:val="0"/>
          <w:color w:val="000000" w:themeColor="text1" w:themeTint="FF" w:themeShade="FF"/>
          <w:sz w:val="18"/>
          <w:szCs w:val="18"/>
          <w:lang w:val="en-GB"/>
        </w:rPr>
        <w:t xml:space="preserve"> </w:t>
      </w:r>
    </w:p>
    <w:p w:rsidR="73CA438C" w:rsidP="1101F479" w:rsidRDefault="73CA438C" w14:paraId="6D655465" w14:textId="4532C179">
      <w:pPr>
        <w:spacing w:before="240" w:after="240"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GB"/>
        </w:rPr>
      </w:pPr>
      <w:r w:rsidRPr="1101F479" w:rsidR="73CA438C">
        <w:rPr>
          <w:rFonts w:ascii="Arial" w:hAnsi="Arial" w:eastAsia="Arial" w:cs="Arial"/>
          <w:b w:val="0"/>
          <w:bCs w:val="0"/>
          <w:i w:val="0"/>
          <w:iCs w:val="0"/>
          <w:caps w:val="0"/>
          <w:smallCaps w:val="0"/>
          <w:noProof w:val="0"/>
          <w:color w:val="000000" w:themeColor="text1" w:themeTint="FF" w:themeShade="FF"/>
          <w:sz w:val="18"/>
          <w:szCs w:val="18"/>
          <w:lang w:val="fr-FR"/>
        </w:rPr>
        <w:t xml:space="preserve">Le Prix de l'inventeur européen est l'un des prix d'innovation les plus prestigieux d'Europe. Lancé par l'OEB en 2006, il récompense des personnes et des équipes qui ont trouvé des solutions à certains des plus grands défis de notre époque. Le jury du Prix de l'inventeur européen est composé d'inventeurs qui sont tous d'anciens finalistes. Pour juger les propositions, le panel indépendant s'appuie sur leur riche expertise technique, commerciale et en matière de propriété intellectuelle. En 2024, le jury sera présidé par Wolfgang M. Heckl. Tous les inventeurs doivent avoir obtenu un brevet européen pour leur invention. Pour en savoir plus sur les différentes catégories, les prix, les critères de sélection et la cérémonie en direct qui se tiendra le 9 juillet à Malte, cliquez </w:t>
      </w:r>
      <w:hyperlink r:id="Rc6abb74462f8423c">
        <w:r w:rsidRPr="1101F479" w:rsidR="73CA438C">
          <w:rPr>
            <w:rStyle w:val="Hyperlink"/>
            <w:rFonts w:ascii="Arial" w:hAnsi="Arial" w:eastAsia="Arial" w:cs="Arial"/>
            <w:b w:val="0"/>
            <w:bCs w:val="0"/>
            <w:i w:val="0"/>
            <w:iCs w:val="0"/>
            <w:caps w:val="0"/>
            <w:smallCaps w:val="0"/>
            <w:strike w:val="0"/>
            <w:dstrike w:val="0"/>
            <w:noProof w:val="0"/>
            <w:sz w:val="18"/>
            <w:szCs w:val="18"/>
            <w:lang w:val="fr-FR"/>
          </w:rPr>
          <w:t>ici</w:t>
        </w:r>
      </w:hyperlink>
      <w:r w:rsidRPr="1101F479" w:rsidR="73CA438C">
        <w:rPr>
          <w:rFonts w:ascii="Arial" w:hAnsi="Arial" w:eastAsia="Arial" w:cs="Arial"/>
          <w:b w:val="0"/>
          <w:bCs w:val="0"/>
          <w:i w:val="0"/>
          <w:iCs w:val="0"/>
          <w:caps w:val="0"/>
          <w:smallCaps w:val="0"/>
          <w:noProof w:val="0"/>
          <w:color w:val="000000" w:themeColor="text1" w:themeTint="FF" w:themeShade="FF"/>
          <w:sz w:val="18"/>
          <w:szCs w:val="18"/>
          <w:lang w:val="fr-FR"/>
        </w:rPr>
        <w:t xml:space="preserve">.    </w:t>
      </w:r>
    </w:p>
    <w:p w:rsidR="73CA438C" w:rsidP="1101F479" w:rsidRDefault="73CA438C" w14:paraId="2E2DF868" w14:textId="1D6D6948">
      <w:pPr>
        <w:widowControl w:val="0"/>
        <w:spacing w:before="240" w:after="240"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GB"/>
        </w:rPr>
      </w:pPr>
      <w:r w:rsidRPr="1101F479" w:rsidR="73CA438C">
        <w:rPr>
          <w:rFonts w:ascii="Arial" w:hAnsi="Arial" w:eastAsia="Arial" w:cs="Arial"/>
          <w:b w:val="1"/>
          <w:bCs w:val="1"/>
          <w:i w:val="0"/>
          <w:iCs w:val="0"/>
          <w:caps w:val="0"/>
          <w:smallCaps w:val="0"/>
          <w:noProof w:val="0"/>
          <w:color w:val="000000" w:themeColor="text1" w:themeTint="FF" w:themeShade="FF"/>
          <w:sz w:val="18"/>
          <w:szCs w:val="18"/>
          <w:lang w:val="fr-FR"/>
        </w:rPr>
        <w:t xml:space="preserve">À propos de l'OEB </w:t>
      </w:r>
    </w:p>
    <w:p w:rsidR="73CA438C" w:rsidP="1101F479" w:rsidRDefault="73CA438C" w14:paraId="6E9AEAB1" w14:textId="4EE2453F">
      <w:pPr>
        <w:widowControl w:val="0"/>
        <w:spacing w:before="240" w:after="240"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GB"/>
        </w:rPr>
      </w:pPr>
      <w:r w:rsidRPr="1101F479" w:rsidR="73CA438C">
        <w:rPr>
          <w:rFonts w:ascii="Arial" w:hAnsi="Arial" w:eastAsia="Arial" w:cs="Arial"/>
          <w:b w:val="0"/>
          <w:bCs w:val="0"/>
          <w:i w:val="0"/>
          <w:iCs w:val="0"/>
          <w:caps w:val="0"/>
          <w:smallCaps w:val="0"/>
          <w:noProof w:val="0"/>
          <w:color w:val="000000" w:themeColor="text1" w:themeTint="FF" w:themeShade="FF"/>
          <w:sz w:val="18"/>
          <w:szCs w:val="18"/>
          <w:lang w:val="fr-FR"/>
        </w:rPr>
        <w:t xml:space="preserve">Fort d'un effectif de 6 300 personnes, </w:t>
      </w:r>
      <w:hyperlink r:id="Rc0b2c263c4c741b2">
        <w:r w:rsidRPr="1101F479" w:rsidR="73CA438C">
          <w:rPr>
            <w:rStyle w:val="Hyperlink"/>
            <w:rFonts w:ascii="Arial" w:hAnsi="Arial" w:eastAsia="Arial" w:cs="Arial"/>
            <w:b w:val="0"/>
            <w:bCs w:val="0"/>
            <w:i w:val="0"/>
            <w:iCs w:val="0"/>
            <w:caps w:val="0"/>
            <w:smallCaps w:val="0"/>
            <w:strike w:val="0"/>
            <w:dstrike w:val="0"/>
            <w:noProof w:val="0"/>
            <w:sz w:val="18"/>
            <w:szCs w:val="18"/>
            <w:lang w:val="fr-FR"/>
          </w:rPr>
          <w:t>l'Office européen des brevets (OEB)</w:t>
        </w:r>
      </w:hyperlink>
      <w:r w:rsidRPr="1101F479" w:rsidR="73CA438C">
        <w:rPr>
          <w:rFonts w:ascii="Arial" w:hAnsi="Arial" w:eastAsia="Arial" w:cs="Arial"/>
          <w:b w:val="0"/>
          <w:bCs w:val="0"/>
          <w:i w:val="0"/>
          <w:iCs w:val="0"/>
          <w:caps w:val="0"/>
          <w:smallCaps w:val="0"/>
          <w:noProof w:val="0"/>
          <w:color w:val="000000" w:themeColor="text1" w:themeTint="FF" w:themeShade="FF"/>
          <w:sz w:val="18"/>
          <w:szCs w:val="18"/>
          <w:lang w:val="fr-FR"/>
        </w:rPr>
        <w:t xml:space="preserve"> est l'une des plus grandes institutions de service public en Europe. Son siège est à Munich et il dispose de bureaux à Berlin, Bruxelles, La Haye et Vienne. L'OEB a été créé dans l'objectif de renforcer la coopération en matière de brevets en Europe. Grâce à la procédure centralisée de délivrance des brevets de l'OEB, les inventeurs peuvent obtenir une protection par brevet de haute qualité dans jusqu'à 45 pays, couvrant un marché de quelque 700 millions de personnes. L'OEB est également la référence mondiale en matière d'information brevets et de recherche de brevets.</w:t>
      </w:r>
    </w:p>
    <w:p w:rsidR="1101F479" w:rsidP="1101F479" w:rsidRDefault="1101F479" w14:paraId="36E84E1C" w14:textId="3104B93A">
      <w:pPr>
        <w:pStyle w:val="Normal"/>
        <w:widowControl w:val="0"/>
        <w:tabs>
          <w:tab w:val="left" w:leader="none" w:pos="939"/>
        </w:tabs>
        <w:spacing w:before="3" w:line="240" w:lineRule="auto"/>
        <w:ind w:left="939"/>
        <w:rPr>
          <w:lang w:val="en-GB"/>
        </w:rPr>
      </w:pPr>
    </w:p>
    <w:sectPr w:rsidR="00937664">
      <w:pgSz w:w="11909" w:h="16834" w:orient="portrait"/>
      <w:pgMar w:top="1440" w:right="1440" w:bottom="1440" w:left="1440" w:header="720" w:footer="720" w:gutter="0"/>
      <w:pgNumType w:start="1"/>
      <w:cols w:space="720"/>
      <w:headerReference w:type="default" r:id="Rcfaa4e25b2f44b17"/>
      <w:footerReference w:type="default" r:id="Rd75a769c9f5d400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w:fontKey="{28EE166C-2854-4A2B-9B48-24859C3CE735}" r:id="rId1"/>
    <w:embedItalic w:fontKey="{44A6960E-BF5B-450F-A5CE-8F77D576FE34}" r:id="rId2"/>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FA16F2C8-02F9-4680-9C04-14E43D38C3D4}" r:id="rId3"/>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1101F479" w:rsidTr="1101F479" w14:paraId="78AE745D">
      <w:trPr>
        <w:trHeight w:val="300"/>
      </w:trPr>
      <w:tc>
        <w:tcPr>
          <w:tcW w:w="3005" w:type="dxa"/>
          <w:tcMar/>
        </w:tcPr>
        <w:p w:rsidR="1101F479" w:rsidP="1101F479" w:rsidRDefault="1101F479" w14:paraId="083E7C26" w14:textId="1ADF77D5">
          <w:pPr>
            <w:pStyle w:val="Header"/>
            <w:bidi w:val="0"/>
            <w:ind w:left="-115"/>
            <w:jc w:val="left"/>
          </w:pPr>
        </w:p>
      </w:tc>
      <w:tc>
        <w:tcPr>
          <w:tcW w:w="3005" w:type="dxa"/>
          <w:tcMar/>
        </w:tcPr>
        <w:p w:rsidR="1101F479" w:rsidP="1101F479" w:rsidRDefault="1101F479" w14:paraId="3231837B" w14:textId="1AD4307B">
          <w:pPr>
            <w:pStyle w:val="Header"/>
            <w:bidi w:val="0"/>
            <w:jc w:val="center"/>
          </w:pPr>
        </w:p>
      </w:tc>
      <w:tc>
        <w:tcPr>
          <w:tcW w:w="3005" w:type="dxa"/>
          <w:tcMar/>
        </w:tcPr>
        <w:p w:rsidR="1101F479" w:rsidP="1101F479" w:rsidRDefault="1101F479" w14:paraId="151CBFF9" w14:textId="7C199134">
          <w:pPr>
            <w:pStyle w:val="Header"/>
            <w:bidi w:val="0"/>
            <w:ind w:right="-115"/>
            <w:jc w:val="right"/>
          </w:pPr>
        </w:p>
      </w:tc>
    </w:tr>
  </w:tbl>
  <w:p w:rsidR="1101F479" w:rsidP="1101F479" w:rsidRDefault="1101F479" w14:paraId="77E66904" w14:textId="1F9DC8C4">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1101F479" w:rsidTr="1101F479" w14:paraId="210D436C">
      <w:trPr>
        <w:trHeight w:val="300"/>
      </w:trPr>
      <w:tc>
        <w:tcPr>
          <w:tcW w:w="3005" w:type="dxa"/>
          <w:tcMar/>
        </w:tcPr>
        <w:p w:rsidR="1101F479" w:rsidP="1101F479" w:rsidRDefault="1101F479" w14:paraId="362FDE0C" w14:textId="464BE8C9">
          <w:pPr>
            <w:tabs>
              <w:tab w:val="center" w:leader="none" w:pos="4680"/>
              <w:tab w:val="right" w:leader="none" w:pos="9360"/>
            </w:tabs>
            <w:bidi w:val="0"/>
            <w:spacing w:line="240" w:lineRule="auto"/>
            <w:ind w:left="-115"/>
            <w:jc w:val="left"/>
            <w:rPr>
              <w:rFonts w:ascii="Arial" w:hAnsi="Arial" w:eastAsia="Arial" w:cs="Arial"/>
              <w:b w:val="0"/>
              <w:bCs w:val="0"/>
              <w:i w:val="0"/>
              <w:iCs w:val="0"/>
              <w:caps w:val="0"/>
              <w:smallCaps w:val="0"/>
              <w:color w:val="000000" w:themeColor="text1" w:themeTint="FF" w:themeShade="FF"/>
              <w:sz w:val="22"/>
              <w:szCs w:val="22"/>
            </w:rPr>
          </w:pPr>
          <w:r w:rsidR="1101F479">
            <w:drawing>
              <wp:inline wp14:editId="78D94405" wp14:anchorId="7D44D8EF">
                <wp:extent cx="1485900" cy="742950"/>
                <wp:effectExtent l="0" t="0" r="0" b="0"/>
                <wp:docPr id="1111231061" name="" descr="Logo European Patent Office" title=""/>
                <wp:cNvGraphicFramePr>
                  <a:graphicFrameLocks noChangeAspect="1"/>
                </wp:cNvGraphicFramePr>
                <a:graphic>
                  <a:graphicData uri="http://schemas.openxmlformats.org/drawingml/2006/picture">
                    <pic:pic>
                      <pic:nvPicPr>
                        <pic:cNvPr id="0" name=""/>
                        <pic:cNvPicPr/>
                      </pic:nvPicPr>
                      <pic:blipFill>
                        <a:blip r:embed="Rcbcf630ed0144dda">
                          <a:extLst>
                            <a:ext xmlns:a="http://schemas.openxmlformats.org/drawingml/2006/main" uri="{28A0092B-C50C-407E-A947-70E740481C1C}">
                              <a14:useLocalDpi val="0"/>
                            </a:ext>
                          </a:extLst>
                        </a:blip>
                        <a:stretch>
                          <a:fillRect/>
                        </a:stretch>
                      </pic:blipFill>
                      <pic:spPr>
                        <a:xfrm>
                          <a:off x="0" y="0"/>
                          <a:ext cx="1485900" cy="742950"/>
                        </a:xfrm>
                        <a:prstGeom prst="rect">
                          <a:avLst/>
                        </a:prstGeom>
                      </pic:spPr>
                    </pic:pic>
                  </a:graphicData>
                </a:graphic>
              </wp:inline>
            </w:drawing>
          </w:r>
        </w:p>
      </w:tc>
      <w:tc>
        <w:tcPr>
          <w:tcW w:w="3005" w:type="dxa"/>
          <w:tcMar/>
        </w:tcPr>
        <w:p w:rsidR="1101F479" w:rsidP="1101F479" w:rsidRDefault="1101F479" w14:paraId="7ED5D0E7" w14:textId="46425D1E">
          <w:pPr>
            <w:tabs>
              <w:tab w:val="center" w:leader="none" w:pos="4680"/>
              <w:tab w:val="right" w:leader="none" w:pos="9360"/>
            </w:tabs>
            <w:bidi w:val="0"/>
            <w:spacing w:line="240" w:lineRule="auto"/>
            <w:jc w:val="center"/>
            <w:rPr>
              <w:rFonts w:ascii="Arial" w:hAnsi="Arial" w:eastAsia="Arial" w:cs="Arial"/>
              <w:b w:val="0"/>
              <w:bCs w:val="0"/>
              <w:i w:val="0"/>
              <w:iCs w:val="0"/>
              <w:caps w:val="0"/>
              <w:smallCaps w:val="0"/>
              <w:color w:val="000000" w:themeColor="text1" w:themeTint="FF" w:themeShade="FF"/>
              <w:sz w:val="22"/>
              <w:szCs w:val="22"/>
            </w:rPr>
          </w:pPr>
        </w:p>
      </w:tc>
      <w:tc>
        <w:tcPr>
          <w:tcW w:w="3005" w:type="dxa"/>
          <w:tcMar/>
        </w:tcPr>
        <w:p w:rsidR="1101F479" w:rsidP="1101F479" w:rsidRDefault="1101F479" w14:paraId="696991B4" w14:textId="61017025">
          <w:pPr>
            <w:tabs>
              <w:tab w:val="center" w:leader="none" w:pos="4680"/>
              <w:tab w:val="right" w:leader="none" w:pos="9360"/>
            </w:tabs>
            <w:bidi w:val="0"/>
            <w:spacing w:line="240" w:lineRule="auto"/>
            <w:ind w:right="-115"/>
            <w:jc w:val="right"/>
            <w:rPr>
              <w:rFonts w:ascii="Arial" w:hAnsi="Arial" w:eastAsia="Arial" w:cs="Arial"/>
              <w:b w:val="0"/>
              <w:bCs w:val="0"/>
              <w:i w:val="0"/>
              <w:iCs w:val="0"/>
              <w:caps w:val="0"/>
              <w:smallCaps w:val="0"/>
              <w:color w:val="000000" w:themeColor="text1" w:themeTint="FF" w:themeShade="FF"/>
              <w:sz w:val="22"/>
              <w:szCs w:val="22"/>
            </w:rPr>
          </w:pPr>
          <w:r w:rsidR="1101F479">
            <w:drawing>
              <wp:inline wp14:editId="5EBF38E0" wp14:anchorId="32C8379C">
                <wp:extent cx="1685925" cy="609600"/>
                <wp:effectExtent l="0" t="0" r="0" b="0"/>
                <wp:docPr id="950700175" name="" title=""/>
                <wp:cNvGraphicFramePr>
                  <a:graphicFrameLocks noChangeAspect="1"/>
                </wp:cNvGraphicFramePr>
                <a:graphic>
                  <a:graphicData uri="http://schemas.openxmlformats.org/drawingml/2006/picture">
                    <pic:pic>
                      <pic:nvPicPr>
                        <pic:cNvPr id="0" name=""/>
                        <pic:cNvPicPr/>
                      </pic:nvPicPr>
                      <pic:blipFill>
                        <a:blip r:embed="Ref602c0b0cf847f0">
                          <a:extLst>
                            <a:ext xmlns:a="http://schemas.openxmlformats.org/drawingml/2006/main" uri="{28A0092B-C50C-407E-A947-70E740481C1C}">
                              <a14:useLocalDpi val="0"/>
                            </a:ext>
                          </a:extLst>
                        </a:blip>
                        <a:stretch>
                          <a:fillRect/>
                        </a:stretch>
                      </pic:blipFill>
                      <pic:spPr>
                        <a:xfrm>
                          <a:off x="0" y="0"/>
                          <a:ext cx="1685925" cy="609600"/>
                        </a:xfrm>
                        <a:prstGeom prst="rect">
                          <a:avLst/>
                        </a:prstGeom>
                      </pic:spPr>
                    </pic:pic>
                  </a:graphicData>
                </a:graphic>
              </wp:inline>
            </w:drawing>
          </w:r>
        </w:p>
      </w:tc>
    </w:tr>
  </w:tbl>
  <w:p w:rsidR="1101F479" w:rsidP="1101F479" w:rsidRDefault="1101F479" w14:paraId="7537E83F" w14:textId="34465E8D">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37A1B"/>
    <w:multiLevelType w:val="multilevel"/>
    <w:tmpl w:val="8A4047A8"/>
    <w:lvl w:ilvl="0">
      <w:start w:val="1"/>
      <w:numFmt w:val="decimal"/>
      <w:lvlRestart w:val="0"/>
      <w:pStyle w:val="EPOHeading1"/>
      <w:lvlText w:val="%1."/>
      <w:lvlJc w:val="left"/>
      <w:pPr>
        <w:tabs>
          <w:tab w:val="num" w:pos="567"/>
        </w:tabs>
        <w:ind w:left="567" w:hanging="567"/>
      </w:pPr>
      <w:rPr>
        <w:rFonts w:ascii="Arial" w:hAnsi="Arial" w:cs="Arial"/>
      </w:rPr>
    </w:lvl>
    <w:lvl w:ilvl="1">
      <w:start w:val="1"/>
      <w:numFmt w:val="decimal"/>
      <w:pStyle w:val="EPOHeading2"/>
      <w:lvlText w:val="%1.%2."/>
      <w:lvlJc w:val="left"/>
      <w:pPr>
        <w:tabs>
          <w:tab w:val="num" w:pos="680"/>
        </w:tabs>
        <w:ind w:left="680" w:hanging="680"/>
      </w:pPr>
      <w:rPr>
        <w:rFonts w:ascii="Arial" w:hAnsi="Arial" w:cs="Arial"/>
      </w:rPr>
    </w:lvl>
    <w:lvl w:ilvl="2">
      <w:start w:val="1"/>
      <w:numFmt w:val="decimal"/>
      <w:pStyle w:val="EPOHeading3"/>
      <w:lvlText w:val="%1.%2.%3."/>
      <w:lvlJc w:val="left"/>
      <w:pPr>
        <w:tabs>
          <w:tab w:val="num" w:pos="794"/>
        </w:tabs>
        <w:ind w:left="794" w:hanging="794"/>
      </w:pPr>
      <w:rPr>
        <w:rFonts w:ascii="Arial" w:hAnsi="Arial" w:cs="Arial"/>
      </w:rPr>
    </w:lvl>
    <w:lvl w:ilvl="3">
      <w:start w:val="1"/>
      <w:numFmt w:val="decimal"/>
      <w:pStyle w:val="EPOHeading4"/>
      <w:lvlText w:val="%1.%2.%3.%4."/>
      <w:lvlJc w:val="left"/>
      <w:pPr>
        <w:tabs>
          <w:tab w:val="num" w:pos="964"/>
        </w:tabs>
        <w:ind w:left="964" w:hanging="964"/>
      </w:pPr>
      <w:rPr>
        <w:rFonts w:ascii="Arial" w:hAnsi="Arial" w:cs="Arial"/>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0165D10"/>
    <w:multiLevelType w:val="multilevel"/>
    <w:tmpl w:val="74E60DCE"/>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9CA6E42"/>
    <w:multiLevelType w:val="multilevel"/>
    <w:tmpl w:val="D01EAB6C"/>
    <w:lvl w:ilvl="0">
      <w:start w:val="1"/>
      <w:numFmt w:val="decimal"/>
      <w:pStyle w:val="EPOList-numbers"/>
      <w:lvlText w:val="%1."/>
      <w:lvlJc w:val="left"/>
      <w:pPr>
        <w:tabs>
          <w:tab w:val="num" w:pos="397"/>
        </w:tabs>
        <w:ind w:left="397" w:hanging="397"/>
      </w:pPr>
      <w:rPr>
        <w:rFonts w:ascii="Arial" w:hAnsi="Arial" w:cs="Arial"/>
      </w:rPr>
    </w:lvl>
    <w:lvl w:ilvl="1">
      <w:start w:val="1"/>
      <w:numFmt w:val="decimal"/>
      <w:lvlText w:val="%2."/>
      <w:lvlJc w:val="left"/>
      <w:pPr>
        <w:tabs>
          <w:tab w:val="num" w:pos="964"/>
        </w:tabs>
        <w:ind w:left="964" w:hanging="397"/>
      </w:pPr>
      <w:rPr>
        <w:rFonts w:ascii="Arial" w:hAnsi="Arial" w:cs="Arial"/>
      </w:rPr>
    </w:lvl>
    <w:lvl w:ilvl="2">
      <w:start w:val="1"/>
      <w:numFmt w:val="decimal"/>
      <w:lvlText w:val="%3."/>
      <w:lvlJc w:val="left"/>
      <w:pPr>
        <w:tabs>
          <w:tab w:val="num" w:pos="1531"/>
        </w:tabs>
        <w:ind w:left="1531" w:hanging="397"/>
      </w:pPr>
      <w:rPr>
        <w:rFonts w:ascii="Arial" w:hAnsi="Arial" w:cs="Arial"/>
      </w:rPr>
    </w:lvl>
    <w:lvl w:ilvl="3">
      <w:start w:val="1"/>
      <w:numFmt w:val="decimal"/>
      <w:lvlText w:val="%4."/>
      <w:lvlJc w:val="left"/>
      <w:pPr>
        <w:tabs>
          <w:tab w:val="num" w:pos="2098"/>
        </w:tabs>
        <w:ind w:left="2098" w:hanging="397"/>
      </w:pPr>
      <w:rPr>
        <w:rFonts w:ascii="Arial" w:hAnsi="Arial" w:cs="Arial"/>
      </w:rPr>
    </w:lvl>
    <w:lvl w:ilvl="4">
      <w:start w:val="1"/>
      <w:numFmt w:val="decimal"/>
      <w:lvlText w:val="%5."/>
      <w:lvlJc w:val="left"/>
      <w:pPr>
        <w:tabs>
          <w:tab w:val="num" w:pos="2665"/>
        </w:tabs>
        <w:ind w:left="2665" w:hanging="397"/>
      </w:pPr>
      <w:rPr>
        <w:rFonts w:ascii="Arial" w:hAnsi="Arial" w:cs="Arial"/>
      </w:rPr>
    </w:lvl>
    <w:lvl w:ilvl="5">
      <w:start w:val="1"/>
      <w:numFmt w:val="decimal"/>
      <w:lvlText w:val="%6."/>
      <w:lvlJc w:val="left"/>
      <w:pPr>
        <w:tabs>
          <w:tab w:val="num" w:pos="3231"/>
        </w:tabs>
        <w:ind w:left="3231" w:hanging="396"/>
      </w:pPr>
      <w:rPr>
        <w:rFonts w:ascii="Arial" w:hAnsi="Arial" w:cs="Arial"/>
      </w:rPr>
    </w:lvl>
    <w:lvl w:ilvl="6">
      <w:start w:val="1"/>
      <w:numFmt w:val="decimal"/>
      <w:lvlText w:val="%7."/>
      <w:lvlJc w:val="left"/>
      <w:pPr>
        <w:tabs>
          <w:tab w:val="num" w:pos="3798"/>
        </w:tabs>
        <w:ind w:left="3798" w:hanging="396"/>
      </w:pPr>
      <w:rPr>
        <w:rFonts w:ascii="Arial" w:hAnsi="Arial" w:cs="Arial"/>
      </w:rPr>
    </w:lvl>
    <w:lvl w:ilvl="7">
      <w:start w:val="1"/>
      <w:numFmt w:val="decimal"/>
      <w:lvlText w:val="%8."/>
      <w:lvlJc w:val="left"/>
      <w:pPr>
        <w:tabs>
          <w:tab w:val="num" w:pos="4365"/>
        </w:tabs>
        <w:ind w:left="4365" w:hanging="396"/>
      </w:pPr>
      <w:rPr>
        <w:rFonts w:ascii="Arial" w:hAnsi="Arial" w:cs="Arial"/>
      </w:rPr>
    </w:lvl>
    <w:lvl w:ilvl="8">
      <w:start w:val="1"/>
      <w:numFmt w:val="decimal"/>
      <w:lvlText w:val="%9."/>
      <w:lvlJc w:val="left"/>
      <w:pPr>
        <w:tabs>
          <w:tab w:val="num" w:pos="4932"/>
        </w:tabs>
        <w:ind w:left="4932" w:hanging="397"/>
      </w:pPr>
      <w:rPr>
        <w:rFonts w:ascii="Arial" w:hAnsi="Arial" w:cs="Arial"/>
      </w:rPr>
    </w:lvl>
  </w:abstractNum>
  <w:abstractNum w:abstractNumId="3" w15:restartNumberingAfterBreak="0">
    <w:nsid w:val="3BE15B73"/>
    <w:multiLevelType w:val="multilevel"/>
    <w:tmpl w:val="5E46F6C4"/>
    <w:lvl w:ilvl="0">
      <w:start w:val="1"/>
      <w:numFmt w:val="lowerLetter"/>
      <w:pStyle w:val="EPOList-letters"/>
      <w:lvlText w:val="%1."/>
      <w:lvlJc w:val="left"/>
      <w:pPr>
        <w:tabs>
          <w:tab w:val="num" w:pos="397"/>
        </w:tabs>
        <w:ind w:left="397" w:hanging="397"/>
      </w:pPr>
      <w:rPr>
        <w:rFonts w:ascii="Arial" w:hAnsi="Arial" w:cs="Arial"/>
      </w:rPr>
    </w:lvl>
    <w:lvl w:ilvl="1">
      <w:start w:val="1"/>
      <w:numFmt w:val="lowerLetter"/>
      <w:pStyle w:val="Heading2"/>
      <w:lvlText w:val="%2."/>
      <w:lvlJc w:val="left"/>
      <w:pPr>
        <w:tabs>
          <w:tab w:val="num" w:pos="964"/>
        </w:tabs>
        <w:ind w:left="964" w:hanging="397"/>
      </w:pPr>
      <w:rPr>
        <w:rFonts w:ascii="Arial" w:hAnsi="Arial" w:cs="Arial"/>
      </w:rPr>
    </w:lvl>
    <w:lvl w:ilvl="2">
      <w:start w:val="1"/>
      <w:numFmt w:val="lowerLetter"/>
      <w:pStyle w:val="Heading3"/>
      <w:lvlText w:val="%3."/>
      <w:lvlJc w:val="left"/>
      <w:pPr>
        <w:tabs>
          <w:tab w:val="num" w:pos="1531"/>
        </w:tabs>
        <w:ind w:left="1531" w:hanging="397"/>
      </w:pPr>
      <w:rPr>
        <w:rFonts w:ascii="Arial" w:hAnsi="Arial" w:cs="Arial"/>
      </w:rPr>
    </w:lvl>
    <w:lvl w:ilvl="3">
      <w:start w:val="1"/>
      <w:numFmt w:val="lowerLetter"/>
      <w:pStyle w:val="Heading4"/>
      <w:lvlText w:val="%4."/>
      <w:lvlJc w:val="left"/>
      <w:pPr>
        <w:tabs>
          <w:tab w:val="num" w:pos="2098"/>
        </w:tabs>
        <w:ind w:left="2098" w:hanging="397"/>
      </w:pPr>
      <w:rPr>
        <w:rFonts w:ascii="Arial" w:hAnsi="Arial" w:cs="Arial"/>
      </w:rPr>
    </w:lvl>
    <w:lvl w:ilvl="4">
      <w:start w:val="1"/>
      <w:numFmt w:val="lowerLetter"/>
      <w:pStyle w:val="Heading5"/>
      <w:lvlText w:val="%5."/>
      <w:lvlJc w:val="left"/>
      <w:pPr>
        <w:tabs>
          <w:tab w:val="num" w:pos="2665"/>
        </w:tabs>
        <w:ind w:left="2665" w:hanging="397"/>
      </w:pPr>
      <w:rPr>
        <w:rFonts w:ascii="Arial" w:hAnsi="Arial" w:cs="Arial"/>
      </w:rPr>
    </w:lvl>
    <w:lvl w:ilvl="5">
      <w:start w:val="1"/>
      <w:numFmt w:val="lowerLetter"/>
      <w:pStyle w:val="Heading6"/>
      <w:lvlText w:val="%6."/>
      <w:lvlJc w:val="left"/>
      <w:pPr>
        <w:tabs>
          <w:tab w:val="num" w:pos="3231"/>
        </w:tabs>
        <w:ind w:left="3231" w:hanging="396"/>
      </w:pPr>
      <w:rPr>
        <w:rFonts w:ascii="Arial" w:hAnsi="Arial" w:cs="Arial"/>
      </w:rPr>
    </w:lvl>
    <w:lvl w:ilvl="6">
      <w:start w:val="1"/>
      <w:numFmt w:val="lowerLetter"/>
      <w:pStyle w:val="Heading7"/>
      <w:lvlText w:val="%7."/>
      <w:lvlJc w:val="left"/>
      <w:pPr>
        <w:tabs>
          <w:tab w:val="num" w:pos="3798"/>
        </w:tabs>
        <w:ind w:left="3798" w:hanging="396"/>
      </w:pPr>
      <w:rPr>
        <w:rFonts w:ascii="Arial" w:hAnsi="Arial" w:cs="Arial"/>
      </w:rPr>
    </w:lvl>
    <w:lvl w:ilvl="7">
      <w:start w:val="1"/>
      <w:numFmt w:val="lowerLetter"/>
      <w:pStyle w:val="Heading8"/>
      <w:lvlText w:val="%8."/>
      <w:lvlJc w:val="left"/>
      <w:pPr>
        <w:tabs>
          <w:tab w:val="num" w:pos="4365"/>
        </w:tabs>
        <w:ind w:left="4365" w:hanging="396"/>
      </w:pPr>
      <w:rPr>
        <w:rFonts w:ascii="Arial" w:hAnsi="Arial" w:cs="Arial"/>
      </w:rPr>
    </w:lvl>
    <w:lvl w:ilvl="8">
      <w:start w:val="1"/>
      <w:numFmt w:val="lowerLetter"/>
      <w:pStyle w:val="Heading9"/>
      <w:lvlText w:val="%9."/>
      <w:lvlJc w:val="left"/>
      <w:pPr>
        <w:tabs>
          <w:tab w:val="num" w:pos="4932"/>
        </w:tabs>
        <w:ind w:left="4932" w:hanging="397"/>
      </w:pPr>
      <w:rPr>
        <w:rFonts w:ascii="Arial" w:hAnsi="Arial" w:cs="Arial"/>
      </w:rPr>
    </w:lvl>
  </w:abstractNum>
  <w:abstractNum w:abstractNumId="4" w15:restartNumberingAfterBreak="0">
    <w:nsid w:val="3D714621"/>
    <w:multiLevelType w:val="multilevel"/>
    <w:tmpl w:val="FA46F664"/>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tabs>
          <w:tab w:val="num" w:pos="794"/>
        </w:tabs>
        <w:ind w:left="794" w:hanging="794"/>
      </w:pPr>
      <w:rPr>
        <w:rFonts w:ascii="Arial" w:hAnsi="Arial" w:cs="Aria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08B4EE5"/>
    <w:multiLevelType w:val="multilevel"/>
    <w:tmpl w:val="0D06092A"/>
    <w:lvl w:ilvl="0">
      <w:start w:val="1"/>
      <w:numFmt w:val="decimal"/>
      <w:pStyle w:val="EPOAnnex"/>
      <w:lvlText w:val="Annex %1"/>
      <w:lvlJc w:val="left"/>
      <w:pPr>
        <w:tabs>
          <w:tab w:val="num" w:pos="567"/>
        </w:tabs>
        <w:ind w:left="567" w:hanging="567"/>
      </w:pPr>
      <w:rPr>
        <w:rFonts w:ascii="Arial" w:hAnsi="Arial" w:cs="Arial"/>
      </w:rPr>
    </w:lvl>
    <w:lvl w:ilvl="1">
      <w:start w:val="1"/>
      <w:numFmt w:val="decimal"/>
      <w:lvlText w:val="Annex %2"/>
      <w:lvlJc w:val="left"/>
      <w:pPr>
        <w:tabs>
          <w:tab w:val="num" w:pos="1134"/>
        </w:tabs>
        <w:ind w:left="1134" w:hanging="567"/>
      </w:pPr>
      <w:rPr>
        <w:rFonts w:ascii="Arial" w:hAnsi="Arial" w:cs="Arial"/>
      </w:rPr>
    </w:lvl>
    <w:lvl w:ilvl="2">
      <w:start w:val="1"/>
      <w:numFmt w:val="decimal"/>
      <w:lvlText w:val="Annex %3"/>
      <w:lvlJc w:val="left"/>
      <w:pPr>
        <w:tabs>
          <w:tab w:val="num" w:pos="1701"/>
        </w:tabs>
        <w:ind w:left="1701" w:hanging="567"/>
      </w:pPr>
      <w:rPr>
        <w:rFonts w:ascii="Arial" w:hAnsi="Arial" w:cs="Arial"/>
      </w:rPr>
    </w:lvl>
    <w:lvl w:ilvl="3">
      <w:start w:val="1"/>
      <w:numFmt w:val="decimal"/>
      <w:lvlText w:val="Annex %4"/>
      <w:lvlJc w:val="left"/>
      <w:pPr>
        <w:tabs>
          <w:tab w:val="num" w:pos="2268"/>
        </w:tabs>
        <w:ind w:left="2268" w:hanging="567"/>
      </w:pPr>
      <w:rPr>
        <w:rFonts w:ascii="Arial" w:hAnsi="Arial" w:cs="Arial"/>
      </w:rPr>
    </w:lvl>
    <w:lvl w:ilvl="4">
      <w:start w:val="1"/>
      <w:numFmt w:val="decimal"/>
      <w:lvlText w:val="Annex %5"/>
      <w:lvlJc w:val="left"/>
      <w:pPr>
        <w:tabs>
          <w:tab w:val="num" w:pos="2835"/>
        </w:tabs>
        <w:ind w:left="2835" w:hanging="567"/>
      </w:pPr>
      <w:rPr>
        <w:rFonts w:ascii="Arial" w:hAnsi="Arial" w:cs="Arial"/>
      </w:rPr>
    </w:lvl>
    <w:lvl w:ilvl="5">
      <w:start w:val="1"/>
      <w:numFmt w:val="decimal"/>
      <w:lvlText w:val="Annex %6"/>
      <w:lvlJc w:val="left"/>
      <w:pPr>
        <w:tabs>
          <w:tab w:val="num" w:pos="3402"/>
        </w:tabs>
        <w:ind w:left="3402" w:hanging="567"/>
      </w:pPr>
      <w:rPr>
        <w:rFonts w:ascii="Arial" w:hAnsi="Arial" w:cs="Arial"/>
      </w:rPr>
    </w:lvl>
    <w:lvl w:ilvl="6">
      <w:start w:val="1"/>
      <w:numFmt w:val="decimal"/>
      <w:lvlText w:val="Annex %7"/>
      <w:lvlJc w:val="left"/>
      <w:pPr>
        <w:tabs>
          <w:tab w:val="num" w:pos="3969"/>
        </w:tabs>
        <w:ind w:left="3969" w:hanging="567"/>
      </w:pPr>
      <w:rPr>
        <w:rFonts w:ascii="Arial" w:hAnsi="Arial" w:cs="Arial"/>
      </w:rPr>
    </w:lvl>
    <w:lvl w:ilvl="7">
      <w:start w:val="1"/>
      <w:numFmt w:val="decimal"/>
      <w:lvlText w:val="Annex %8"/>
      <w:lvlJc w:val="left"/>
      <w:pPr>
        <w:tabs>
          <w:tab w:val="num" w:pos="4535"/>
        </w:tabs>
        <w:ind w:left="4535" w:hanging="566"/>
      </w:pPr>
      <w:rPr>
        <w:rFonts w:ascii="Arial" w:hAnsi="Arial" w:cs="Arial"/>
      </w:rPr>
    </w:lvl>
    <w:lvl w:ilvl="8">
      <w:start w:val="1"/>
      <w:numFmt w:val="decimal"/>
      <w:lvlText w:val="Annex %9"/>
      <w:lvlJc w:val="left"/>
      <w:pPr>
        <w:tabs>
          <w:tab w:val="num" w:pos="5102"/>
        </w:tabs>
        <w:ind w:left="5102" w:hanging="567"/>
      </w:pPr>
      <w:rPr>
        <w:rFonts w:ascii="Arial" w:hAnsi="Arial" w:cs="Arial"/>
      </w:rPr>
    </w:lvl>
  </w:abstractNum>
  <w:abstractNum w:abstractNumId="6" w15:restartNumberingAfterBreak="0">
    <w:nsid w:val="55D22763"/>
    <w:multiLevelType w:val="multilevel"/>
    <w:tmpl w:val="DDC6771A"/>
    <w:lvl w:ilvl="0">
      <w:start w:val="1"/>
      <w:numFmt w:val="bullet"/>
      <w:pStyle w:val="EPOBullet2ndlevel"/>
      <w:lvlText w:val="-"/>
      <w:lvlJc w:val="left"/>
      <w:pPr>
        <w:tabs>
          <w:tab w:val="num" w:pos="1701"/>
        </w:tabs>
        <w:ind w:left="1701" w:hanging="567"/>
      </w:pPr>
      <w:rPr>
        <w:rFonts w:hint="default" w:ascii="Symbol" w:hAnsi="Symbol"/>
      </w:rPr>
    </w:lvl>
    <w:lvl w:ilvl="1">
      <w:start w:val="1"/>
      <w:numFmt w:val="bullet"/>
      <w:lvlText w:val="-"/>
      <w:lvlJc w:val="left"/>
      <w:pPr>
        <w:tabs>
          <w:tab w:val="num" w:pos="2268"/>
        </w:tabs>
        <w:ind w:left="2268" w:hanging="567"/>
      </w:pPr>
      <w:rPr>
        <w:rFonts w:hint="default" w:ascii="Symbol" w:hAnsi="Symbol"/>
      </w:rPr>
    </w:lvl>
    <w:lvl w:ilvl="2">
      <w:start w:val="1"/>
      <w:numFmt w:val="bullet"/>
      <w:lvlText w:val="-"/>
      <w:lvlJc w:val="left"/>
      <w:pPr>
        <w:tabs>
          <w:tab w:val="num" w:pos="2835"/>
        </w:tabs>
        <w:ind w:left="2835" w:hanging="567"/>
      </w:pPr>
      <w:rPr>
        <w:rFonts w:hint="default" w:ascii="Symbol" w:hAnsi="Symbol"/>
      </w:rPr>
    </w:lvl>
    <w:lvl w:ilvl="3">
      <w:start w:val="1"/>
      <w:numFmt w:val="bullet"/>
      <w:lvlText w:val="-"/>
      <w:lvlJc w:val="left"/>
      <w:pPr>
        <w:tabs>
          <w:tab w:val="num" w:pos="3402"/>
        </w:tabs>
        <w:ind w:left="3402" w:hanging="567"/>
      </w:pPr>
      <w:rPr>
        <w:rFonts w:hint="default" w:ascii="Symbol" w:hAnsi="Symbol"/>
      </w:rPr>
    </w:lvl>
    <w:lvl w:ilvl="4">
      <w:start w:val="1"/>
      <w:numFmt w:val="bullet"/>
      <w:lvlText w:val="-"/>
      <w:lvlJc w:val="left"/>
      <w:pPr>
        <w:tabs>
          <w:tab w:val="num" w:pos="3969"/>
        </w:tabs>
        <w:ind w:left="3969" w:hanging="567"/>
      </w:pPr>
      <w:rPr>
        <w:rFonts w:hint="default" w:ascii="Symbol" w:hAnsi="Symbol"/>
      </w:rPr>
    </w:lvl>
    <w:lvl w:ilvl="5">
      <w:start w:val="1"/>
      <w:numFmt w:val="bullet"/>
      <w:lvlText w:val="-"/>
      <w:lvlJc w:val="left"/>
      <w:pPr>
        <w:tabs>
          <w:tab w:val="num" w:pos="4535"/>
        </w:tabs>
        <w:ind w:left="4535" w:hanging="566"/>
      </w:pPr>
      <w:rPr>
        <w:rFonts w:hint="default" w:ascii="Symbol" w:hAnsi="Symbol"/>
      </w:rPr>
    </w:lvl>
    <w:lvl w:ilvl="6">
      <w:start w:val="1"/>
      <w:numFmt w:val="bullet"/>
      <w:lvlText w:val="-"/>
      <w:lvlJc w:val="left"/>
      <w:pPr>
        <w:tabs>
          <w:tab w:val="num" w:pos="5102"/>
        </w:tabs>
        <w:ind w:left="5102" w:hanging="567"/>
      </w:pPr>
      <w:rPr>
        <w:rFonts w:hint="default" w:ascii="Symbol" w:hAnsi="Symbol"/>
      </w:rPr>
    </w:lvl>
    <w:lvl w:ilvl="7">
      <w:start w:val="1"/>
      <w:numFmt w:val="bullet"/>
      <w:lvlText w:val="-"/>
      <w:lvlJc w:val="left"/>
      <w:pPr>
        <w:tabs>
          <w:tab w:val="num" w:pos="5669"/>
        </w:tabs>
        <w:ind w:left="5669" w:hanging="567"/>
      </w:pPr>
      <w:rPr>
        <w:rFonts w:hint="default" w:ascii="Symbol" w:hAnsi="Symbol"/>
      </w:rPr>
    </w:lvl>
    <w:lvl w:ilvl="8">
      <w:start w:val="1"/>
      <w:numFmt w:val="bullet"/>
      <w:lvlText w:val="-"/>
      <w:lvlJc w:val="left"/>
      <w:pPr>
        <w:tabs>
          <w:tab w:val="num" w:pos="6236"/>
        </w:tabs>
        <w:ind w:left="6236" w:hanging="567"/>
      </w:pPr>
      <w:rPr>
        <w:rFonts w:hint="default" w:ascii="Symbol" w:hAnsi="Symbol"/>
      </w:rPr>
    </w:lvl>
  </w:abstractNum>
  <w:abstractNum w:abstractNumId="7" w15:restartNumberingAfterBreak="0">
    <w:nsid w:val="5D2943AF"/>
    <w:multiLevelType w:val="multilevel"/>
    <w:tmpl w:val="5862FD22"/>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E7B4DDF"/>
    <w:multiLevelType w:val="hybridMultilevel"/>
    <w:tmpl w:val="FFFFFFFF"/>
    <w:lvl w:ilvl="0" w:tplc="C1987C6A">
      <w:start w:val="1"/>
      <w:numFmt w:val="bullet"/>
      <w:lvlText w:val="●"/>
      <w:lvlJc w:val="left"/>
      <w:pPr>
        <w:ind w:left="720" w:hanging="360"/>
      </w:pPr>
      <w:rPr>
        <w:rFonts w:hint="default" w:ascii="Noto Sans Symbols" w:hAnsi="Noto Sans Symbols"/>
      </w:rPr>
    </w:lvl>
    <w:lvl w:ilvl="1" w:tplc="504612CE">
      <w:start w:val="1"/>
      <w:numFmt w:val="bullet"/>
      <w:lvlText w:val="o"/>
      <w:lvlJc w:val="left"/>
      <w:pPr>
        <w:ind w:left="1440" w:hanging="360"/>
      </w:pPr>
      <w:rPr>
        <w:rFonts w:hint="default" w:ascii="Courier New" w:hAnsi="Courier New"/>
      </w:rPr>
    </w:lvl>
    <w:lvl w:ilvl="2" w:tplc="E16C7DD6">
      <w:start w:val="1"/>
      <w:numFmt w:val="bullet"/>
      <w:lvlText w:val="▪"/>
      <w:lvlJc w:val="left"/>
      <w:pPr>
        <w:ind w:left="2160" w:hanging="360"/>
      </w:pPr>
      <w:rPr>
        <w:rFonts w:hint="default" w:ascii="Noto Sans Symbols" w:hAnsi="Noto Sans Symbols"/>
      </w:rPr>
    </w:lvl>
    <w:lvl w:ilvl="3" w:tplc="E742543C">
      <w:start w:val="1"/>
      <w:numFmt w:val="bullet"/>
      <w:lvlText w:val="●"/>
      <w:lvlJc w:val="left"/>
      <w:pPr>
        <w:ind w:left="2880" w:hanging="360"/>
      </w:pPr>
      <w:rPr>
        <w:rFonts w:hint="default" w:ascii="Noto Sans Symbols" w:hAnsi="Noto Sans Symbols"/>
      </w:rPr>
    </w:lvl>
    <w:lvl w:ilvl="4" w:tplc="19B20B3E">
      <w:start w:val="1"/>
      <w:numFmt w:val="bullet"/>
      <w:lvlText w:val="o"/>
      <w:lvlJc w:val="left"/>
      <w:pPr>
        <w:ind w:left="3600" w:hanging="360"/>
      </w:pPr>
      <w:rPr>
        <w:rFonts w:hint="default" w:ascii="Courier New" w:hAnsi="Courier New"/>
      </w:rPr>
    </w:lvl>
    <w:lvl w:ilvl="5" w:tplc="B2A88E48">
      <w:start w:val="1"/>
      <w:numFmt w:val="bullet"/>
      <w:lvlText w:val="▪"/>
      <w:lvlJc w:val="left"/>
      <w:pPr>
        <w:ind w:left="4320" w:hanging="360"/>
      </w:pPr>
      <w:rPr>
        <w:rFonts w:hint="default" w:ascii="Noto Sans Symbols" w:hAnsi="Noto Sans Symbols"/>
      </w:rPr>
    </w:lvl>
    <w:lvl w:ilvl="6" w:tplc="D04230AC">
      <w:start w:val="1"/>
      <w:numFmt w:val="bullet"/>
      <w:lvlText w:val="●"/>
      <w:lvlJc w:val="left"/>
      <w:pPr>
        <w:ind w:left="5040" w:hanging="360"/>
      </w:pPr>
      <w:rPr>
        <w:rFonts w:hint="default" w:ascii="Noto Sans Symbols" w:hAnsi="Noto Sans Symbols"/>
      </w:rPr>
    </w:lvl>
    <w:lvl w:ilvl="7" w:tplc="A9A24EAC">
      <w:start w:val="1"/>
      <w:numFmt w:val="bullet"/>
      <w:lvlText w:val="o"/>
      <w:lvlJc w:val="left"/>
      <w:pPr>
        <w:ind w:left="5760" w:hanging="360"/>
      </w:pPr>
      <w:rPr>
        <w:rFonts w:hint="default" w:ascii="Courier New" w:hAnsi="Courier New"/>
      </w:rPr>
    </w:lvl>
    <w:lvl w:ilvl="8" w:tplc="9E827D4A">
      <w:start w:val="1"/>
      <w:numFmt w:val="bullet"/>
      <w:lvlText w:val="▪"/>
      <w:lvlJc w:val="left"/>
      <w:pPr>
        <w:ind w:left="6480" w:hanging="360"/>
      </w:pPr>
      <w:rPr>
        <w:rFonts w:hint="default" w:ascii="Noto Sans Symbols" w:hAnsi="Noto Sans Symbols"/>
      </w:rPr>
    </w:lvl>
  </w:abstractNum>
  <w:abstractNum w:abstractNumId="9" w15:restartNumberingAfterBreak="0">
    <w:nsid w:val="674E6A3F"/>
    <w:multiLevelType w:val="multilevel"/>
    <w:tmpl w:val="B23E721C"/>
    <w:lvl w:ilvl="0">
      <w:start w:val="1"/>
      <w:numFmt w:val="bullet"/>
      <w:lvlRestart w:val="0"/>
      <w:pStyle w:val="EPOBullet1stlevel"/>
      <w:lvlText w:val="§"/>
      <w:lvlJc w:val="left"/>
      <w:pPr>
        <w:tabs>
          <w:tab w:val="num" w:pos="1134"/>
        </w:tabs>
        <w:ind w:left="1134" w:hanging="567"/>
      </w:pPr>
      <w:rPr>
        <w:rFonts w:hint="default" w:ascii="Wingdings" w:hAnsi="Wingdings" w:cs="Arial"/>
      </w:rPr>
    </w:lvl>
    <w:lvl w:ilvl="1">
      <w:start w:val="1"/>
      <w:numFmt w:val="bullet"/>
      <w:lvlText w:val="§"/>
      <w:lvlJc w:val="left"/>
      <w:pPr>
        <w:tabs>
          <w:tab w:val="num" w:pos="1701"/>
        </w:tabs>
        <w:ind w:left="1701" w:hanging="567"/>
      </w:pPr>
      <w:rPr>
        <w:rFonts w:hint="default" w:ascii="Wingdings" w:hAnsi="Wingdings" w:cs="Arial"/>
      </w:rPr>
    </w:lvl>
    <w:lvl w:ilvl="2">
      <w:start w:val="1"/>
      <w:numFmt w:val="bullet"/>
      <w:lvlText w:val="§"/>
      <w:lvlJc w:val="left"/>
      <w:pPr>
        <w:tabs>
          <w:tab w:val="num" w:pos="2268"/>
        </w:tabs>
        <w:ind w:left="2268" w:hanging="567"/>
      </w:pPr>
      <w:rPr>
        <w:rFonts w:hint="default" w:ascii="Wingdings" w:hAnsi="Wingdings" w:cs="Arial"/>
      </w:rPr>
    </w:lvl>
    <w:lvl w:ilvl="3">
      <w:start w:val="1"/>
      <w:numFmt w:val="bullet"/>
      <w:lvlText w:val="§"/>
      <w:lvlJc w:val="left"/>
      <w:pPr>
        <w:tabs>
          <w:tab w:val="num" w:pos="2835"/>
        </w:tabs>
        <w:ind w:left="2835" w:hanging="567"/>
      </w:pPr>
      <w:rPr>
        <w:rFonts w:hint="default" w:ascii="Wingdings" w:hAnsi="Wingdings" w:cs="Arial"/>
      </w:rPr>
    </w:lvl>
    <w:lvl w:ilvl="4">
      <w:start w:val="1"/>
      <w:numFmt w:val="bullet"/>
      <w:lvlText w:val="§"/>
      <w:lvlJc w:val="left"/>
      <w:pPr>
        <w:tabs>
          <w:tab w:val="num" w:pos="3402"/>
        </w:tabs>
        <w:ind w:left="3402" w:hanging="567"/>
      </w:pPr>
      <w:rPr>
        <w:rFonts w:hint="default" w:ascii="Wingdings" w:hAnsi="Wingdings"/>
      </w:rPr>
    </w:lvl>
    <w:lvl w:ilvl="5">
      <w:start w:val="1"/>
      <w:numFmt w:val="bullet"/>
      <w:lvlText w:val="§"/>
      <w:lvlJc w:val="left"/>
      <w:pPr>
        <w:tabs>
          <w:tab w:val="num" w:pos="3969"/>
        </w:tabs>
        <w:ind w:left="3969" w:hanging="567"/>
      </w:pPr>
      <w:rPr>
        <w:rFonts w:hint="default" w:ascii="Wingdings" w:hAnsi="Wingdings"/>
      </w:rPr>
    </w:lvl>
    <w:lvl w:ilvl="6">
      <w:start w:val="1"/>
      <w:numFmt w:val="bullet"/>
      <w:lvlText w:val="§"/>
      <w:lvlJc w:val="left"/>
      <w:pPr>
        <w:tabs>
          <w:tab w:val="num" w:pos="4535"/>
        </w:tabs>
        <w:ind w:left="4535" w:hanging="566"/>
      </w:pPr>
      <w:rPr>
        <w:rFonts w:hint="default" w:ascii="Wingdings" w:hAnsi="Wingdings"/>
      </w:rPr>
    </w:lvl>
    <w:lvl w:ilvl="7">
      <w:start w:val="1"/>
      <w:numFmt w:val="bullet"/>
      <w:lvlText w:val="§"/>
      <w:lvlJc w:val="left"/>
      <w:pPr>
        <w:tabs>
          <w:tab w:val="num" w:pos="5102"/>
        </w:tabs>
        <w:ind w:left="5102" w:hanging="567"/>
      </w:pPr>
      <w:rPr>
        <w:rFonts w:hint="default" w:ascii="Wingdings" w:hAnsi="Wingdings"/>
      </w:rPr>
    </w:lvl>
    <w:lvl w:ilvl="8">
      <w:start w:val="1"/>
      <w:numFmt w:val="bullet"/>
      <w:lvlText w:val="§"/>
      <w:lvlJc w:val="left"/>
      <w:pPr>
        <w:tabs>
          <w:tab w:val="num" w:pos="5669"/>
        </w:tabs>
        <w:ind w:left="5669" w:hanging="567"/>
      </w:pPr>
      <w:rPr>
        <w:rFonts w:hint="default" w:ascii="Wingdings" w:hAnsi="Wingdings"/>
      </w:rPr>
    </w:lvl>
  </w:abstractNum>
  <w:num w:numId="1" w16cid:durableId="1312906422">
    <w:abstractNumId w:val="8"/>
  </w:num>
  <w:num w:numId="2" w16cid:durableId="1196890271">
    <w:abstractNumId w:val="5"/>
  </w:num>
  <w:num w:numId="3" w16cid:durableId="89548913">
    <w:abstractNumId w:val="1"/>
  </w:num>
  <w:num w:numId="4" w16cid:durableId="562326300">
    <w:abstractNumId w:val="7"/>
  </w:num>
  <w:num w:numId="5" w16cid:durableId="300312684">
    <w:abstractNumId w:val="4"/>
  </w:num>
  <w:num w:numId="6" w16cid:durableId="693073921">
    <w:abstractNumId w:val="0"/>
  </w:num>
  <w:num w:numId="7" w16cid:durableId="433866542">
    <w:abstractNumId w:val="9"/>
  </w:num>
  <w:num w:numId="8" w16cid:durableId="1325747140">
    <w:abstractNumId w:val="6"/>
  </w:num>
  <w:num w:numId="9" w16cid:durableId="1572155535">
    <w:abstractNumId w:val="2"/>
  </w:num>
  <w:num w:numId="10" w16cid:durableId="7698552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664"/>
    <w:rsid w:val="00025A4D"/>
    <w:rsid w:val="0006227C"/>
    <w:rsid w:val="001B6F64"/>
    <w:rsid w:val="001D19B3"/>
    <w:rsid w:val="002410E4"/>
    <w:rsid w:val="0028692D"/>
    <w:rsid w:val="002D3927"/>
    <w:rsid w:val="00325374"/>
    <w:rsid w:val="00351F8E"/>
    <w:rsid w:val="0038294F"/>
    <w:rsid w:val="003D24F5"/>
    <w:rsid w:val="004632D8"/>
    <w:rsid w:val="004743C0"/>
    <w:rsid w:val="005360FD"/>
    <w:rsid w:val="00583D0A"/>
    <w:rsid w:val="005E2F1F"/>
    <w:rsid w:val="00632EFE"/>
    <w:rsid w:val="006CC469"/>
    <w:rsid w:val="007A4DF3"/>
    <w:rsid w:val="007F4D68"/>
    <w:rsid w:val="00861632"/>
    <w:rsid w:val="00937664"/>
    <w:rsid w:val="00973925"/>
    <w:rsid w:val="009865C2"/>
    <w:rsid w:val="00994ACB"/>
    <w:rsid w:val="009A40E3"/>
    <w:rsid w:val="00A2569D"/>
    <w:rsid w:val="00A5483E"/>
    <w:rsid w:val="00A56AFB"/>
    <w:rsid w:val="00AD67AE"/>
    <w:rsid w:val="00C03F2B"/>
    <w:rsid w:val="00D160A0"/>
    <w:rsid w:val="00E74A46"/>
    <w:rsid w:val="00ED395C"/>
    <w:rsid w:val="00F70219"/>
    <w:rsid w:val="00FF3D65"/>
    <w:rsid w:val="01D9901A"/>
    <w:rsid w:val="020B468D"/>
    <w:rsid w:val="0215EBCC"/>
    <w:rsid w:val="0329185F"/>
    <w:rsid w:val="0352715A"/>
    <w:rsid w:val="04E490A0"/>
    <w:rsid w:val="0569B450"/>
    <w:rsid w:val="058A3C58"/>
    <w:rsid w:val="05A48EE6"/>
    <w:rsid w:val="05BF5019"/>
    <w:rsid w:val="063E3A9F"/>
    <w:rsid w:val="07B20F5A"/>
    <w:rsid w:val="07D607AD"/>
    <w:rsid w:val="0844D791"/>
    <w:rsid w:val="08990804"/>
    <w:rsid w:val="09E931CC"/>
    <w:rsid w:val="0B15B067"/>
    <w:rsid w:val="0B1AF7E9"/>
    <w:rsid w:val="0BA5C323"/>
    <w:rsid w:val="0BCD04E4"/>
    <w:rsid w:val="0C473ED9"/>
    <w:rsid w:val="0D19F393"/>
    <w:rsid w:val="0D5B9DD8"/>
    <w:rsid w:val="0ECA1BB1"/>
    <w:rsid w:val="0F09E926"/>
    <w:rsid w:val="0F0A8489"/>
    <w:rsid w:val="0F1C7416"/>
    <w:rsid w:val="0FED022C"/>
    <w:rsid w:val="0FEFD05D"/>
    <w:rsid w:val="105B223C"/>
    <w:rsid w:val="1101F479"/>
    <w:rsid w:val="11095EB2"/>
    <w:rsid w:val="1110AC66"/>
    <w:rsid w:val="1188D28D"/>
    <w:rsid w:val="13D5BD11"/>
    <w:rsid w:val="144BE490"/>
    <w:rsid w:val="15429863"/>
    <w:rsid w:val="156F77C5"/>
    <w:rsid w:val="15D384C2"/>
    <w:rsid w:val="16A14D79"/>
    <w:rsid w:val="16E0A89F"/>
    <w:rsid w:val="17762FF6"/>
    <w:rsid w:val="179E170C"/>
    <w:rsid w:val="18E18201"/>
    <w:rsid w:val="194465AF"/>
    <w:rsid w:val="1B8C8794"/>
    <w:rsid w:val="1C624658"/>
    <w:rsid w:val="1D036499"/>
    <w:rsid w:val="1D079E11"/>
    <w:rsid w:val="1D48696D"/>
    <w:rsid w:val="1DAB95AB"/>
    <w:rsid w:val="1DCE8D40"/>
    <w:rsid w:val="1DDBFC59"/>
    <w:rsid w:val="1DF49D69"/>
    <w:rsid w:val="1E066A25"/>
    <w:rsid w:val="1E089439"/>
    <w:rsid w:val="1E482E53"/>
    <w:rsid w:val="1FF4FAE9"/>
    <w:rsid w:val="205E66B0"/>
    <w:rsid w:val="206D93EA"/>
    <w:rsid w:val="207961BE"/>
    <w:rsid w:val="21569420"/>
    <w:rsid w:val="2179E45D"/>
    <w:rsid w:val="2333EFBE"/>
    <w:rsid w:val="248AD4C0"/>
    <w:rsid w:val="24AF33A2"/>
    <w:rsid w:val="24CAF421"/>
    <w:rsid w:val="25973BFA"/>
    <w:rsid w:val="261886B2"/>
    <w:rsid w:val="26F419A7"/>
    <w:rsid w:val="26FF0412"/>
    <w:rsid w:val="295F9B27"/>
    <w:rsid w:val="2998584D"/>
    <w:rsid w:val="29BA6481"/>
    <w:rsid w:val="29F15C10"/>
    <w:rsid w:val="2A42DCC8"/>
    <w:rsid w:val="2ACE5C5C"/>
    <w:rsid w:val="2B6AD483"/>
    <w:rsid w:val="2C01D174"/>
    <w:rsid w:val="2C3D2765"/>
    <w:rsid w:val="2CE7E2E6"/>
    <w:rsid w:val="2D1A363A"/>
    <w:rsid w:val="2DD8F7C6"/>
    <w:rsid w:val="2E9FBA76"/>
    <w:rsid w:val="2EB17EEA"/>
    <w:rsid w:val="2EC12610"/>
    <w:rsid w:val="2EC3C0F6"/>
    <w:rsid w:val="2FA91BB7"/>
    <w:rsid w:val="3019D275"/>
    <w:rsid w:val="301DAA76"/>
    <w:rsid w:val="3078D8A9"/>
    <w:rsid w:val="3079C417"/>
    <w:rsid w:val="3134F2C0"/>
    <w:rsid w:val="3206F5C9"/>
    <w:rsid w:val="326D291E"/>
    <w:rsid w:val="32D73082"/>
    <w:rsid w:val="334470BD"/>
    <w:rsid w:val="3481F03D"/>
    <w:rsid w:val="34D9AF0C"/>
    <w:rsid w:val="34DAF30E"/>
    <w:rsid w:val="355EDFA4"/>
    <w:rsid w:val="3575CB8A"/>
    <w:rsid w:val="35D2BBE6"/>
    <w:rsid w:val="3697AC1D"/>
    <w:rsid w:val="37823D56"/>
    <w:rsid w:val="3833A685"/>
    <w:rsid w:val="38B7D781"/>
    <w:rsid w:val="38D71825"/>
    <w:rsid w:val="39A974C4"/>
    <w:rsid w:val="3A7B9F5A"/>
    <w:rsid w:val="3AC9F350"/>
    <w:rsid w:val="3AF2C89D"/>
    <w:rsid w:val="3B25B099"/>
    <w:rsid w:val="3B6AD98D"/>
    <w:rsid w:val="3BAB83A7"/>
    <w:rsid w:val="3BCB7B94"/>
    <w:rsid w:val="3BEF0F67"/>
    <w:rsid w:val="3C176FBB"/>
    <w:rsid w:val="3D07E63C"/>
    <w:rsid w:val="3D9D4A44"/>
    <w:rsid w:val="3DB3401C"/>
    <w:rsid w:val="3DFC0545"/>
    <w:rsid w:val="3EB3CBDF"/>
    <w:rsid w:val="3ED1002C"/>
    <w:rsid w:val="3F2DAF26"/>
    <w:rsid w:val="3F6075CF"/>
    <w:rsid w:val="401BA906"/>
    <w:rsid w:val="40B65B78"/>
    <w:rsid w:val="41474AE8"/>
    <w:rsid w:val="42250719"/>
    <w:rsid w:val="42E5A56C"/>
    <w:rsid w:val="43918174"/>
    <w:rsid w:val="43B8527C"/>
    <w:rsid w:val="446A1C63"/>
    <w:rsid w:val="44D53CCF"/>
    <w:rsid w:val="44EF7439"/>
    <w:rsid w:val="455CA7DB"/>
    <w:rsid w:val="45BEFA9F"/>
    <w:rsid w:val="46027D2A"/>
    <w:rsid w:val="4608D003"/>
    <w:rsid w:val="47BB0EF6"/>
    <w:rsid w:val="4881F017"/>
    <w:rsid w:val="4AC64985"/>
    <w:rsid w:val="4C3CEBAF"/>
    <w:rsid w:val="4C8C87B2"/>
    <w:rsid w:val="4CA8785B"/>
    <w:rsid w:val="4DD1516C"/>
    <w:rsid w:val="4DD75051"/>
    <w:rsid w:val="4E285813"/>
    <w:rsid w:val="4EA8DFB8"/>
    <w:rsid w:val="503CC792"/>
    <w:rsid w:val="504A562A"/>
    <w:rsid w:val="509EC30A"/>
    <w:rsid w:val="5111FC26"/>
    <w:rsid w:val="512A8577"/>
    <w:rsid w:val="5221DB48"/>
    <w:rsid w:val="5269A498"/>
    <w:rsid w:val="538B3176"/>
    <w:rsid w:val="54E3080C"/>
    <w:rsid w:val="55464157"/>
    <w:rsid w:val="556A46A7"/>
    <w:rsid w:val="56765C6E"/>
    <w:rsid w:val="58392CA7"/>
    <w:rsid w:val="592AACE5"/>
    <w:rsid w:val="594AD196"/>
    <w:rsid w:val="59C78F26"/>
    <w:rsid w:val="5AE31706"/>
    <w:rsid w:val="5B187971"/>
    <w:rsid w:val="5B1B3F53"/>
    <w:rsid w:val="5B499E70"/>
    <w:rsid w:val="5B69B01B"/>
    <w:rsid w:val="5BD83AA2"/>
    <w:rsid w:val="5C4378AD"/>
    <w:rsid w:val="5CFD322F"/>
    <w:rsid w:val="60126AAA"/>
    <w:rsid w:val="60B275F5"/>
    <w:rsid w:val="62378ED8"/>
    <w:rsid w:val="6243FBE3"/>
    <w:rsid w:val="6250B735"/>
    <w:rsid w:val="62F2CF3B"/>
    <w:rsid w:val="6348600C"/>
    <w:rsid w:val="64152462"/>
    <w:rsid w:val="644DF6F5"/>
    <w:rsid w:val="64982D75"/>
    <w:rsid w:val="649D43A6"/>
    <w:rsid w:val="64D16600"/>
    <w:rsid w:val="656C45C9"/>
    <w:rsid w:val="6713219B"/>
    <w:rsid w:val="672477DE"/>
    <w:rsid w:val="67454029"/>
    <w:rsid w:val="67574CF8"/>
    <w:rsid w:val="67747069"/>
    <w:rsid w:val="67D2DE31"/>
    <w:rsid w:val="6846740F"/>
    <w:rsid w:val="6939423D"/>
    <w:rsid w:val="6973418D"/>
    <w:rsid w:val="6999414A"/>
    <w:rsid w:val="6A42A0BD"/>
    <w:rsid w:val="6AF5A0F0"/>
    <w:rsid w:val="6C0C9D2B"/>
    <w:rsid w:val="6C52B442"/>
    <w:rsid w:val="6C54BBAD"/>
    <w:rsid w:val="6C6019CF"/>
    <w:rsid w:val="6EDC617B"/>
    <w:rsid w:val="6FE721BC"/>
    <w:rsid w:val="70D80532"/>
    <w:rsid w:val="711329C7"/>
    <w:rsid w:val="7124B515"/>
    <w:rsid w:val="7148B4D8"/>
    <w:rsid w:val="72107CF6"/>
    <w:rsid w:val="722139AA"/>
    <w:rsid w:val="736DD546"/>
    <w:rsid w:val="73B1A18A"/>
    <w:rsid w:val="73CA438C"/>
    <w:rsid w:val="74126CF1"/>
    <w:rsid w:val="759563E2"/>
    <w:rsid w:val="76328139"/>
    <w:rsid w:val="768E1E1B"/>
    <w:rsid w:val="783D8384"/>
    <w:rsid w:val="783FCFFA"/>
    <w:rsid w:val="797D9EB4"/>
    <w:rsid w:val="79B0B719"/>
    <w:rsid w:val="7A28D2A8"/>
    <w:rsid w:val="7AC2B509"/>
    <w:rsid w:val="7B5225CB"/>
    <w:rsid w:val="7BAEF393"/>
    <w:rsid w:val="7C22D297"/>
    <w:rsid w:val="7CE71BD1"/>
    <w:rsid w:val="7D133B46"/>
    <w:rsid w:val="7D5EA26A"/>
    <w:rsid w:val="7EA9B636"/>
    <w:rsid w:val="7F979F7E"/>
    <w:rsid w:val="7FB11BA8"/>
    <w:rsid w:val="7FD86781"/>
    <w:rsid w:val="7FFF5EA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F80B2"/>
  <w15:docId w15:val="{71C4D649-B64D-40C2-9932-CFE470F29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fr-FR"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numPr>
        <w:ilvl w:val="1"/>
        <w:numId w:val="10"/>
      </w:numPr>
      <w:spacing w:before="360" w:after="120"/>
      <w:outlineLvl w:val="1"/>
    </w:pPr>
    <w:rPr>
      <w:sz w:val="32"/>
      <w:szCs w:val="32"/>
    </w:rPr>
  </w:style>
  <w:style w:type="paragraph" w:styleId="Heading3">
    <w:name w:val="heading 3"/>
    <w:basedOn w:val="Normal"/>
    <w:next w:val="Normal"/>
    <w:uiPriority w:val="9"/>
    <w:semiHidden/>
    <w:unhideWhenUsed/>
    <w:qFormat/>
    <w:pPr>
      <w:keepNext/>
      <w:keepLines/>
      <w:numPr>
        <w:ilvl w:val="2"/>
        <w:numId w:val="10"/>
      </w:numP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numPr>
        <w:ilvl w:val="3"/>
        <w:numId w:val="10"/>
      </w:numP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numPr>
        <w:ilvl w:val="4"/>
        <w:numId w:val="10"/>
      </w:numPr>
      <w:spacing w:before="240" w:after="80"/>
      <w:outlineLvl w:val="4"/>
    </w:pPr>
    <w:rPr>
      <w:color w:val="666666"/>
    </w:rPr>
  </w:style>
  <w:style w:type="paragraph" w:styleId="Heading6">
    <w:name w:val="heading 6"/>
    <w:basedOn w:val="Normal"/>
    <w:next w:val="Normal"/>
    <w:uiPriority w:val="9"/>
    <w:semiHidden/>
    <w:unhideWhenUsed/>
    <w:qFormat/>
    <w:pPr>
      <w:keepNext/>
      <w:keepLines/>
      <w:numPr>
        <w:ilvl w:val="5"/>
        <w:numId w:val="10"/>
      </w:numPr>
      <w:spacing w:before="240" w:after="80"/>
      <w:outlineLvl w:val="5"/>
    </w:pPr>
    <w:rPr>
      <w:i/>
      <w:color w:val="666666"/>
    </w:rPr>
  </w:style>
  <w:style w:type="paragraph" w:styleId="Heading7">
    <w:name w:val="heading 7"/>
    <w:basedOn w:val="Normal"/>
    <w:next w:val="Normal"/>
    <w:link w:val="Heading7Char"/>
    <w:uiPriority w:val="9"/>
    <w:semiHidden/>
    <w:unhideWhenUsed/>
    <w:qFormat/>
    <w:rsid w:val="00F70219"/>
    <w:pPr>
      <w:keepNext/>
      <w:keepLines/>
      <w:numPr>
        <w:ilvl w:val="6"/>
        <w:numId w:val="10"/>
      </w:numPr>
      <w:spacing w:before="40"/>
      <w:outlineLvl w:val="6"/>
    </w:pPr>
    <w:rPr>
      <w:rFonts w:asciiTheme="majorHAnsi" w:hAnsiTheme="majorHAnsi" w:eastAsiaTheme="majorEastAsia" w:cstheme="majorBidi"/>
      <w:i/>
      <w:iCs/>
      <w:color w:val="243F60" w:themeColor="accent1" w:themeShade="7F"/>
    </w:rPr>
  </w:style>
  <w:style w:type="paragraph" w:styleId="Heading8">
    <w:name w:val="heading 8"/>
    <w:basedOn w:val="Normal"/>
    <w:next w:val="Normal"/>
    <w:link w:val="Heading8Char"/>
    <w:uiPriority w:val="9"/>
    <w:semiHidden/>
    <w:unhideWhenUsed/>
    <w:qFormat/>
    <w:rsid w:val="00F70219"/>
    <w:pPr>
      <w:keepNext/>
      <w:keepLines/>
      <w:numPr>
        <w:ilvl w:val="7"/>
        <w:numId w:val="10"/>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70219"/>
    <w:pPr>
      <w:keepNext/>
      <w:keepLines/>
      <w:numPr>
        <w:ilvl w:val="8"/>
        <w:numId w:val="10"/>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Pr>
      <w:color w:val="0000FF" w:themeColor="hyperlink"/>
      <w:u w:val="single"/>
    </w:rPr>
  </w:style>
  <w:style w:type="character" w:styleId="CommentReference">
    <w:name w:val="annotation reference"/>
    <w:basedOn w:val="DefaultParagraphFont"/>
    <w:uiPriority w:val="99"/>
    <w:semiHidden/>
    <w:unhideWhenUsed/>
    <w:rsid w:val="002410E4"/>
    <w:rPr>
      <w:sz w:val="16"/>
      <w:szCs w:val="16"/>
    </w:rPr>
  </w:style>
  <w:style w:type="paragraph" w:styleId="CommentText">
    <w:name w:val="annotation text"/>
    <w:basedOn w:val="Normal"/>
    <w:link w:val="CommentTextChar"/>
    <w:uiPriority w:val="99"/>
    <w:unhideWhenUsed/>
    <w:rsid w:val="002410E4"/>
    <w:pPr>
      <w:spacing w:line="240" w:lineRule="auto"/>
    </w:pPr>
    <w:rPr>
      <w:sz w:val="20"/>
      <w:szCs w:val="20"/>
    </w:rPr>
  </w:style>
  <w:style w:type="character" w:styleId="CommentTextChar" w:customStyle="1">
    <w:name w:val="Comment Text Char"/>
    <w:basedOn w:val="DefaultParagraphFont"/>
    <w:link w:val="CommentText"/>
    <w:uiPriority w:val="99"/>
    <w:rsid w:val="002410E4"/>
    <w:rPr>
      <w:sz w:val="20"/>
      <w:szCs w:val="20"/>
    </w:rPr>
  </w:style>
  <w:style w:type="paragraph" w:styleId="CommentSubject">
    <w:name w:val="annotation subject"/>
    <w:basedOn w:val="CommentText"/>
    <w:next w:val="CommentText"/>
    <w:link w:val="CommentSubjectChar"/>
    <w:uiPriority w:val="99"/>
    <w:semiHidden/>
    <w:unhideWhenUsed/>
    <w:rsid w:val="002410E4"/>
    <w:rPr>
      <w:b/>
      <w:bCs/>
    </w:rPr>
  </w:style>
  <w:style w:type="character" w:styleId="CommentSubjectChar" w:customStyle="1">
    <w:name w:val="Comment Subject Char"/>
    <w:basedOn w:val="CommentTextChar"/>
    <w:link w:val="CommentSubject"/>
    <w:uiPriority w:val="99"/>
    <w:semiHidden/>
    <w:rsid w:val="002410E4"/>
    <w:rPr>
      <w:b/>
      <w:bCs/>
      <w:sz w:val="20"/>
      <w:szCs w:val="20"/>
    </w:rPr>
  </w:style>
  <w:style w:type="paragraph" w:styleId="Revision">
    <w:name w:val="Revision"/>
    <w:hidden/>
    <w:uiPriority w:val="99"/>
    <w:semiHidden/>
    <w:rsid w:val="002410E4"/>
    <w:pPr>
      <w:spacing w:line="240" w:lineRule="auto"/>
    </w:pPr>
  </w:style>
  <w:style w:type="character" w:styleId="FollowedHyperlink">
    <w:name w:val="FollowedHyperlink"/>
    <w:basedOn w:val="DefaultParagraphFont"/>
    <w:uiPriority w:val="99"/>
    <w:semiHidden/>
    <w:unhideWhenUsed/>
    <w:rsid w:val="009865C2"/>
    <w:rPr>
      <w:color w:val="800080" w:themeColor="followedHyperlink"/>
      <w:u w:val="single"/>
    </w:rPr>
  </w:style>
  <w:style w:type="character" w:styleId="Mention">
    <w:name w:val="Mention"/>
    <w:basedOn w:val="DefaultParagraphFont"/>
    <w:uiPriority w:val="99"/>
    <w:unhideWhenUsed/>
    <w:rPr>
      <w:color w:val="2B579A"/>
      <w:shd w:val="clear" w:color="auto" w:fill="E6E6E6"/>
    </w:rPr>
  </w:style>
  <w:style w:type="paragraph" w:styleId="Normal0" w:customStyle="1">
    <w:name w:val="Normal0"/>
    <w:basedOn w:val="Normal"/>
    <w:uiPriority w:val="1"/>
    <w:qFormat/>
    <w:rsid w:val="2998584D"/>
  </w:style>
  <w:style w:type="paragraph" w:styleId="EPONormal" w:customStyle="1">
    <w:name w:val="EPO Normal"/>
    <w:qFormat/>
    <w:rsid w:val="00F70219"/>
    <w:pPr>
      <w:spacing w:line="287" w:lineRule="auto"/>
      <w:jc w:val="both"/>
    </w:pPr>
  </w:style>
  <w:style w:type="paragraph" w:styleId="EPOSubheading11pt" w:customStyle="1">
    <w:name w:val="EPO Subheading 11pt"/>
    <w:next w:val="EPONormal"/>
    <w:qFormat/>
    <w:rsid w:val="00F70219"/>
    <w:pPr>
      <w:keepNext/>
      <w:spacing w:before="220" w:after="220" w:line="287" w:lineRule="auto"/>
    </w:pPr>
    <w:rPr>
      <w:b/>
    </w:rPr>
  </w:style>
  <w:style w:type="paragraph" w:styleId="EPOFootnote" w:customStyle="1">
    <w:name w:val="EPO Footnote"/>
    <w:qFormat/>
    <w:rsid w:val="00F70219"/>
    <w:pPr>
      <w:spacing w:line="287" w:lineRule="auto"/>
      <w:jc w:val="both"/>
    </w:pPr>
    <w:rPr>
      <w:sz w:val="16"/>
    </w:rPr>
  </w:style>
  <w:style w:type="paragraph" w:styleId="EPOFooter" w:customStyle="1">
    <w:name w:val="EPO Footer"/>
    <w:qFormat/>
    <w:rsid w:val="00F70219"/>
    <w:pPr>
      <w:spacing w:line="287" w:lineRule="auto"/>
    </w:pPr>
    <w:rPr>
      <w:sz w:val="16"/>
    </w:rPr>
  </w:style>
  <w:style w:type="paragraph" w:styleId="EPOHeader" w:customStyle="1">
    <w:name w:val="EPO Header"/>
    <w:qFormat/>
    <w:rsid w:val="00F70219"/>
    <w:pPr>
      <w:spacing w:line="287" w:lineRule="auto"/>
    </w:pPr>
    <w:rPr>
      <w:sz w:val="16"/>
    </w:rPr>
  </w:style>
  <w:style w:type="paragraph" w:styleId="EPOSubheading14pt" w:customStyle="1">
    <w:name w:val="EPO Subheading 14pt"/>
    <w:next w:val="EPONormal"/>
    <w:qFormat/>
    <w:rsid w:val="00F70219"/>
    <w:pPr>
      <w:keepNext/>
      <w:spacing w:before="220" w:after="220" w:line="287" w:lineRule="auto"/>
    </w:pPr>
    <w:rPr>
      <w:b/>
      <w:sz w:val="28"/>
    </w:rPr>
  </w:style>
  <w:style w:type="paragraph" w:styleId="EPOAnnex" w:customStyle="1">
    <w:name w:val="EPO Annex"/>
    <w:next w:val="EPONormal"/>
    <w:qFormat/>
    <w:rsid w:val="00F70219"/>
    <w:pPr>
      <w:pageBreakBefore/>
      <w:numPr>
        <w:numId w:val="2"/>
      </w:numPr>
      <w:tabs>
        <w:tab w:val="clear" w:pos="567"/>
        <w:tab w:val="left" w:pos="1417"/>
      </w:tabs>
      <w:spacing w:after="220" w:line="287" w:lineRule="auto"/>
      <w:ind w:left="1417" w:hanging="1417"/>
    </w:pPr>
    <w:rPr>
      <w:b/>
      <w:sz w:val="28"/>
    </w:rPr>
  </w:style>
  <w:style w:type="character" w:styleId="Heading7Char" w:customStyle="1">
    <w:name w:val="Heading 7 Char"/>
    <w:basedOn w:val="DefaultParagraphFont"/>
    <w:link w:val="Heading7"/>
    <w:uiPriority w:val="9"/>
    <w:semiHidden/>
    <w:rsid w:val="00F70219"/>
    <w:rPr>
      <w:rFonts w:asciiTheme="majorHAnsi" w:hAnsiTheme="majorHAnsi" w:eastAsiaTheme="majorEastAsia" w:cstheme="majorBidi"/>
      <w:i/>
      <w:iCs/>
      <w:color w:val="243F60" w:themeColor="accent1" w:themeShade="7F"/>
    </w:rPr>
  </w:style>
  <w:style w:type="character" w:styleId="Heading8Char" w:customStyle="1">
    <w:name w:val="Heading 8 Char"/>
    <w:basedOn w:val="DefaultParagraphFont"/>
    <w:link w:val="Heading8"/>
    <w:uiPriority w:val="9"/>
    <w:semiHidden/>
    <w:rsid w:val="00F70219"/>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F70219"/>
    <w:rPr>
      <w:rFonts w:asciiTheme="majorHAnsi" w:hAnsiTheme="majorHAnsi" w:eastAsiaTheme="majorEastAsia" w:cstheme="majorBidi"/>
      <w:i/>
      <w:iCs/>
      <w:color w:val="272727" w:themeColor="text1" w:themeTint="D8"/>
      <w:sz w:val="21"/>
      <w:szCs w:val="21"/>
    </w:rPr>
  </w:style>
  <w:style w:type="paragraph" w:styleId="EPOTitle1-25pt" w:customStyle="1">
    <w:name w:val="EPO Title 1 - 25pt"/>
    <w:next w:val="EPONormal"/>
    <w:qFormat/>
    <w:rsid w:val="00F70219"/>
    <w:pPr>
      <w:spacing w:after="220" w:line="287" w:lineRule="auto"/>
    </w:pPr>
    <w:rPr>
      <w:b/>
      <w:sz w:val="50"/>
    </w:rPr>
  </w:style>
  <w:style w:type="paragraph" w:styleId="EPOTitle2-18pt" w:customStyle="1">
    <w:name w:val="EPO Title 2 - 18pt"/>
    <w:next w:val="EPONormal"/>
    <w:qFormat/>
    <w:rsid w:val="00F70219"/>
    <w:pPr>
      <w:spacing w:after="220" w:line="287" w:lineRule="auto"/>
    </w:pPr>
    <w:rPr>
      <w:b/>
      <w:sz w:val="36"/>
    </w:rPr>
  </w:style>
  <w:style w:type="paragraph" w:styleId="EPOHeading1" w:customStyle="1">
    <w:name w:val="EPO Heading 1"/>
    <w:next w:val="EPONormal"/>
    <w:qFormat/>
    <w:rsid w:val="00F70219"/>
    <w:pPr>
      <w:keepNext/>
      <w:numPr>
        <w:numId w:val="6"/>
      </w:numPr>
      <w:spacing w:before="220" w:after="220" w:line="287" w:lineRule="auto"/>
      <w:outlineLvl w:val="0"/>
    </w:pPr>
    <w:rPr>
      <w:b/>
      <w:sz w:val="28"/>
    </w:rPr>
  </w:style>
  <w:style w:type="paragraph" w:styleId="EPOHeading2" w:customStyle="1">
    <w:name w:val="EPO Heading 2"/>
    <w:next w:val="EPONormal"/>
    <w:qFormat/>
    <w:rsid w:val="00F70219"/>
    <w:pPr>
      <w:keepNext/>
      <w:numPr>
        <w:ilvl w:val="1"/>
        <w:numId w:val="6"/>
      </w:numPr>
      <w:spacing w:before="220" w:after="220" w:line="287" w:lineRule="auto"/>
      <w:outlineLvl w:val="1"/>
    </w:pPr>
    <w:rPr>
      <w:b/>
      <w:sz w:val="24"/>
    </w:rPr>
  </w:style>
  <w:style w:type="paragraph" w:styleId="EPOHeading3" w:customStyle="1">
    <w:name w:val="EPO Heading 3"/>
    <w:next w:val="EPONormal"/>
    <w:qFormat/>
    <w:rsid w:val="00F70219"/>
    <w:pPr>
      <w:keepNext/>
      <w:numPr>
        <w:ilvl w:val="2"/>
        <w:numId w:val="6"/>
      </w:numPr>
      <w:spacing w:before="220" w:after="220" w:line="287" w:lineRule="auto"/>
      <w:outlineLvl w:val="2"/>
    </w:pPr>
    <w:rPr>
      <w:b/>
    </w:rPr>
  </w:style>
  <w:style w:type="paragraph" w:styleId="EPOHeading4" w:customStyle="1">
    <w:name w:val="EPO Heading 4"/>
    <w:next w:val="EPONormal"/>
    <w:qFormat/>
    <w:rsid w:val="00F70219"/>
    <w:pPr>
      <w:keepNext/>
      <w:numPr>
        <w:ilvl w:val="3"/>
        <w:numId w:val="6"/>
      </w:numPr>
      <w:spacing w:before="220" w:after="220" w:line="287" w:lineRule="auto"/>
      <w:outlineLvl w:val="3"/>
    </w:pPr>
    <w:rPr>
      <w:b/>
    </w:rPr>
  </w:style>
  <w:style w:type="paragraph" w:styleId="EPOBullet1stlevel" w:customStyle="1">
    <w:name w:val="EPO Bullet 1st level"/>
    <w:qFormat/>
    <w:rsid w:val="00F70219"/>
    <w:pPr>
      <w:numPr>
        <w:numId w:val="7"/>
      </w:numPr>
      <w:tabs>
        <w:tab w:val="clear" w:pos="1134"/>
      </w:tabs>
      <w:spacing w:line="287" w:lineRule="auto"/>
      <w:ind w:left="397" w:hanging="397"/>
      <w:jc w:val="both"/>
    </w:pPr>
  </w:style>
  <w:style w:type="paragraph" w:styleId="EPOBullet2ndlevel" w:customStyle="1">
    <w:name w:val="EPO Bullet 2nd level"/>
    <w:qFormat/>
    <w:rsid w:val="00F70219"/>
    <w:pPr>
      <w:numPr>
        <w:numId w:val="8"/>
      </w:numPr>
      <w:tabs>
        <w:tab w:val="clear" w:pos="1701"/>
      </w:tabs>
      <w:spacing w:line="287" w:lineRule="auto"/>
      <w:ind w:left="794" w:hanging="397"/>
      <w:jc w:val="both"/>
    </w:pPr>
  </w:style>
  <w:style w:type="paragraph" w:styleId="EPOList-numbers" w:customStyle="1">
    <w:name w:val="EPO List - numbers"/>
    <w:qFormat/>
    <w:rsid w:val="00F70219"/>
    <w:pPr>
      <w:numPr>
        <w:numId w:val="9"/>
      </w:numPr>
      <w:tabs>
        <w:tab w:val="left" w:pos="397"/>
      </w:tabs>
      <w:spacing w:line="287" w:lineRule="auto"/>
      <w:jc w:val="both"/>
    </w:pPr>
  </w:style>
  <w:style w:type="paragraph" w:styleId="EPOList-letters" w:customStyle="1">
    <w:name w:val="EPO List - letters"/>
    <w:qFormat/>
    <w:rsid w:val="00F70219"/>
    <w:pPr>
      <w:numPr>
        <w:numId w:val="10"/>
      </w:numPr>
      <w:tabs>
        <w:tab w:val="left" w:pos="397"/>
      </w:tabs>
      <w:spacing w:line="287" w:lineRule="auto"/>
      <w:jc w:val="both"/>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customXml" Target="../customXml/item3.xml" Id="rId3" /><Relationship Type="http://schemas.openxmlformats.org/officeDocument/2006/relationships/numbering" Target="numbering.xml" Id="rId7"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customXml" Target="../customXml/item5.xml" Id="rId5" /><Relationship Type="http://schemas.openxmlformats.org/officeDocument/2006/relationships/fontTable" Target="fontTable.xml" Id="rId15" /><Relationship Type="http://schemas.openxmlformats.org/officeDocument/2006/relationships/webSettings" Target="webSettings.xml" Id="rId10"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yperlink" Target="https://www.epo.org/fr/news-events/european-inventor-award/streaming?mtm_campaign=EIA2024&amp;mtm_keyword=pressrelease&amp;mtm_medium=press" TargetMode="External" Id="R9a8df56c0d2f43c2" /><Relationship Type="http://schemas.openxmlformats.org/officeDocument/2006/relationships/hyperlink" Target="https://www.epo.org/fr/news-events/european-inventor-award/meet-the-finalists/khaoula-ben-ahmed-ghofrane-ayari-souleima?mtm_campaign=EIA2024&amp;mtm_keyword=pressrelease&amp;mtm_medium=press" TargetMode="External" Id="R4bf89f245b764dd3" /><Relationship Type="http://schemas.openxmlformats.org/officeDocument/2006/relationships/hyperlink" Target="mailto:press@epo.org" TargetMode="External" Id="Rcac434e5d9ad4c21" /><Relationship Type="http://schemas.openxmlformats.org/officeDocument/2006/relationships/hyperlink" Target="https://www.epo.org/en/news-events/european-inventor-award/categories-and-prizes" TargetMode="External" Id="Ra0f31fce786c4803" /><Relationship Type="http://schemas.openxmlformats.org/officeDocument/2006/relationships/hyperlink" Target="https://www.epo.org/fr/news-events/european-inventor-award?mtm_campaign=EIA2024&amp;mtm_keyword=pressrelease&amp;mtm_medium=press" TargetMode="External" Id="Rc6abb74462f8423c" /><Relationship Type="http://schemas.openxmlformats.org/officeDocument/2006/relationships/hyperlink" Target="https://www.epo.org/fr/?mtm_campaign=EIA2024&amp;mtm_keyword=pressrelease&amp;mtm_medium=press" TargetMode="External" Id="Rc0b2c263c4c741b2" /><Relationship Type="http://schemas.openxmlformats.org/officeDocument/2006/relationships/header" Target="header.xml" Id="Rcfaa4e25b2f44b17" /><Relationship Type="http://schemas.openxmlformats.org/officeDocument/2006/relationships/footer" Target="footer.xml" Id="Rd75a769c9f5d4006" /><Relationship Type="http://schemas.openxmlformats.org/officeDocument/2006/relationships/hyperlink" Target="https://www.who.int/publications/i/item/9789240074521" TargetMode="External" Id="R3c557f9cd91c49c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xml.rels>&#65279;<?xml version="1.0" encoding="utf-8"?><Relationships xmlns="http://schemas.openxmlformats.org/package/2006/relationships"><Relationship Type="http://schemas.openxmlformats.org/officeDocument/2006/relationships/image" Target="/media/image.png" Id="Rcbcf630ed0144dda" /><Relationship Type="http://schemas.openxmlformats.org/officeDocument/2006/relationships/image" Target="/media/image2.png" Id="Ref602c0b0cf847f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uhiVj5l9LR/co2/il8Xgc8xOZA==">CgMxLjA4AHIhMThXbjl4QlNIcURuRGZVWkd3STY3cG9JcVdzT191MHNW</go:docsCustomData>
</go:gDocsCustomXmlDataStorag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9fe85f9d-14b9-4f9c-9861-ae262a00135d" ContentTypeId="0x0101004B4BAD3DDDE0F84A8E56A09DD9B2FAD7" PreviousValue="false"/>
</file>

<file path=customXml/item5.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TAS0-850928080-102161</_dlc_DocId>
    <_dlc_DocIdUrl xmlns="f2e99cb4-f4f9-415e-b3d9-1292be195fdc">
      <Url>https://byblos2019.internal.epo.org/sites/TAS/_layouts/15/DocIdRedir.aspx?ID=TAS0-850928080-102161</Url>
      <Description>TAS0-850928080-102161</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6.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6a2087d8a798ac184d75514626af6db0">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e71387e9d4f639189bd694c462f23f5a"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458A90-D231-4FAF-977F-1E0DEE93C526}">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www.w3.org/2000/xmlns/"/>
    <ds:schemaRef ds:uri="http://schemas.openxmlformats.org/officeDocument/2006/relationships"/>
  </ds:schemaRefs>
</ds:datastoreItem>
</file>

<file path=customXml/itemProps3.xml><?xml version="1.0" encoding="utf-8"?>
<ds:datastoreItem xmlns:ds="http://schemas.openxmlformats.org/officeDocument/2006/customXml" ds:itemID="{D36FCD78-0AB6-482F-8D57-4325344E7996}">
  <ds:schemaRefs>
    <ds:schemaRef ds:uri="http://schemas.microsoft.com/sharepoint/events"/>
  </ds:schemaRefs>
</ds:datastoreItem>
</file>

<file path=customXml/itemProps4.xml><?xml version="1.0" encoding="utf-8"?>
<ds:datastoreItem xmlns:ds="http://schemas.openxmlformats.org/officeDocument/2006/customXml" ds:itemID="{3C6E58EA-1247-444C-AE0E-5A6FC54CA6A0}">
  <ds:schemaRefs>
    <ds:schemaRef ds:uri="Microsoft.SharePoint.Taxonomy.ContentTypeSync"/>
  </ds:schemaRefs>
</ds:datastoreItem>
</file>

<file path=customXml/itemProps5.xml><?xml version="1.0" encoding="utf-8"?>
<ds:datastoreItem xmlns:ds="http://schemas.openxmlformats.org/officeDocument/2006/customXml" ds:itemID="{6AAA3A3D-788C-45E5-A769-D371BCF6F388}">
  <ds:schemaRefs>
    <ds:schemaRef ds:uri="http://purl.org/dc/elements/1.1/"/>
    <ds:schemaRef ds:uri="http://schemas.microsoft.com/office/2006/metadata/properties"/>
    <ds:schemaRef ds:uri="http://purl.org/dc/terms/"/>
    <ds:schemaRef ds:uri="http://schemas.openxmlformats.org/package/2006/metadata/core-properties"/>
    <ds:schemaRef ds:uri="c19017b9-b632-4fd7-b272-8e1706ce9985"/>
    <ds:schemaRef ds:uri="http://schemas.microsoft.com/office/2006/documentManagement/types"/>
    <ds:schemaRef ds:uri="http://schemas.microsoft.com/office/infopath/2007/PartnerControls"/>
    <ds:schemaRef ds:uri="http://schemas.microsoft.com/sharepoint/v3/fields"/>
    <ds:schemaRef ds:uri="f2e99cb4-f4f9-415e-b3d9-1292be195fdc"/>
    <ds:schemaRef ds:uri="http://www.w3.org/XML/1998/namespace"/>
    <ds:schemaRef ds:uri="http://purl.org/dc/dcmitype/"/>
  </ds:schemaRefs>
</ds:datastoreItem>
</file>

<file path=customXml/itemProps6.xml><?xml version="1.0" encoding="utf-8"?>
<ds:datastoreItem xmlns:ds="http://schemas.openxmlformats.org/officeDocument/2006/customXml" ds:itemID="{DAF11068-D8A9-47CB-978E-735F22A61B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99cb4-f4f9-415e-b3d9-1292be195fdc"/>
    <ds:schemaRef ds:uri="http://schemas.microsoft.com/sharepoint/v3/fields"/>
    <ds:schemaRef ds:uri="c19017b9-b632-4fd7-b272-8e1706ce9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lastModifiedBy>Sophie Rasbash (External)</lastModifiedBy>
  <revision>37</revision>
  <dcterms:created xsi:type="dcterms:W3CDTF">2024-04-09T08:12:00.0000000Z</dcterms:created>
  <dcterms:modified xsi:type="dcterms:W3CDTF">2024-05-29T08:35:21.5698330Z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0x0101004B4BAD3DDDE0F84A8E56A09DD9B2FAD700589673E0CE02EC4FA69E3DADD58EC854</vt:lpwstr>
  </property>
  <property fmtid="{D5CDD505-2E9C-101B-9397-08002B2CF9AE}" pid="3" name="_dlc_DocIdItemGuid">
    <vt:lpwstr>2cf6c3d6-f755-4088-b1f6-9eac35c8d169</vt:lpwstr>
  </property>
  <property fmtid="{D5CDD505-2E9C-101B-9397-08002B2CF9AE}" pid="4" name="EpoCoverage">
    <vt:lpwstr/>
  </property>
  <property fmtid="{D5CDD505-2E9C-101B-9397-08002B2CF9AE}" pid="5" name="EpoCategory">
    <vt:lpwstr/>
  </property>
  <property fmtid="{D5CDD505-2E9C-101B-9397-08002B2CF9AE}" pid="6" name="EpoLanguage">
    <vt:lpwstr/>
  </property>
  <property fmtid="{D5CDD505-2E9C-101B-9397-08002B2CF9AE}" pid="7" name="EpoPublisher">
    <vt:lpwstr/>
  </property>
</Properties>
</file>