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46C0" w:rsidP="6FA34147" w:rsidRDefault="00A400D2" w14:paraId="00000002" w14:textId="77777777">
      <w:pPr>
        <w:spacing w:before="240" w:after="240" w:line="360" w:lineRule="auto"/>
        <w:jc w:val="right"/>
        <w:rPr>
          <w:b/>
          <w:bCs/>
          <w:sz w:val="28"/>
          <w:szCs w:val="28"/>
        </w:rPr>
      </w:pPr>
      <w:r>
        <w:rPr>
          <w:b/>
          <w:sz w:val="28"/>
        </w:rPr>
        <w:t xml:space="preserve">COMMUNIQUÉ DE PRESSE </w:t>
      </w:r>
    </w:p>
    <w:p w:rsidR="007346C0" w:rsidP="6FA34147" w:rsidRDefault="00A400D2" w14:paraId="00000003" w14:textId="69DB178C">
      <w:pPr>
        <w:jc w:val="center"/>
        <w:rPr>
          <w:b/>
          <w:bCs/>
          <w:sz w:val="28"/>
          <w:szCs w:val="28"/>
        </w:rPr>
      </w:pPr>
      <w:r>
        <w:rPr>
          <w:b/>
          <w:sz w:val="28"/>
        </w:rPr>
        <w:t>Innovateurs de nouvelle génération : rencontrez les finalistes du Young Inventors Prize dans le cadre du Prix de l'inventeur européen 2024</w:t>
      </w:r>
    </w:p>
    <w:p w:rsidR="007346C0" w:rsidP="6FA34147" w:rsidRDefault="007346C0" w14:paraId="00000004" w14:textId="77777777">
      <w:pPr>
        <w:jc w:val="center"/>
        <w:rPr>
          <w:b/>
          <w:bCs/>
          <w:sz w:val="28"/>
          <w:szCs w:val="28"/>
          <w:lang w:val="en-GB"/>
        </w:rPr>
      </w:pPr>
    </w:p>
    <w:p w:rsidR="007346C0" w:rsidP="6FA34147" w:rsidRDefault="5D515723" w14:paraId="00000007" w14:textId="1A7B7000">
      <w:pPr>
        <w:numPr>
          <w:ilvl w:val="0"/>
          <w:numId w:val="1"/>
        </w:numPr>
        <w:ind w:left="714" w:hanging="357"/>
        <w:jc w:val="both"/>
        <w:rPr>
          <w:b/>
          <w:bCs/>
        </w:rPr>
      </w:pPr>
      <w:r>
        <w:rPr>
          <w:b/>
        </w:rPr>
        <w:t>Le Young Inventors Prize rend hommage aux jeunes innovateurs de 30 ans et moins qui contribuent à la réalisation des objectifs de développement durable des Nations Unies à travers leurs solutions inventives</w:t>
      </w:r>
    </w:p>
    <w:p w:rsidR="007346C0" w:rsidP="6FA34147" w:rsidRDefault="00A400D2" w14:paraId="00000008" w14:textId="67CCC22B">
      <w:pPr>
        <w:numPr>
          <w:ilvl w:val="0"/>
          <w:numId w:val="1"/>
        </w:numPr>
        <w:ind w:left="714" w:hanging="357"/>
        <w:jc w:val="both"/>
        <w:rPr>
          <w:b/>
          <w:bCs/>
        </w:rPr>
      </w:pPr>
      <w:r>
        <w:rPr>
          <w:b/>
        </w:rPr>
        <w:t>Les trois brillants finalistes contribuent à la durabilité environnementale, à l'accessibilité aux soins de santé et aux progrès technologiques dans le domaine de l'aide à la mobilité</w:t>
      </w:r>
    </w:p>
    <w:p w:rsidR="007346C0" w:rsidDel="00D35BA4" w:rsidP="7DD8769A" w:rsidRDefault="00A400D2" w14:paraId="0C7DBB00" w14:textId="5396DBD4">
      <w:pPr>
        <w:numPr>
          <w:ilvl w:val="0"/>
          <w:numId w:val="1"/>
        </w:numPr>
        <w:ind w:left="714" w:hanging="357"/>
        <w:jc w:val="both"/>
        <w:rPr>
          <w:rFonts w:ascii="Arial" w:hAnsi="Arial" w:eastAsia="Arial" w:cs="Arial"/>
          <w:noProof w:val="0"/>
          <w:sz w:val="22"/>
          <w:szCs w:val="22"/>
          <w:lang w:val="fr-FR"/>
        </w:rPr>
      </w:pPr>
      <w:r w:rsidRPr="7DD8769A" w:rsidR="00A400D2">
        <w:rPr>
          <w:b w:val="1"/>
          <w:bCs w:val="1"/>
        </w:rPr>
        <w:t xml:space="preserve">Les finalistes et leur classement seront présentés au cours de la cérémonie hybride du Prix de l'inventeur européen le 9 juillet, qui sera </w:t>
      </w:r>
      <w:hyperlink r:id="Rf38d64748380412f">
        <w:r w:rsidRPr="7DD8769A" w:rsidR="2FAD6509">
          <w:rPr>
            <w:rStyle w:val="Hyperlink"/>
            <w:rFonts w:ascii="Arial" w:hAnsi="Arial" w:eastAsia="Arial" w:cs="Arial"/>
            <w:b w:val="1"/>
            <w:bCs w:val="1"/>
            <w:i w:val="0"/>
            <w:iCs w:val="0"/>
            <w:caps w:val="0"/>
            <w:smallCaps w:val="0"/>
            <w:strike w:val="0"/>
            <w:dstrike w:val="0"/>
            <w:noProof w:val="0"/>
            <w:sz w:val="22"/>
            <w:szCs w:val="22"/>
            <w:lang w:val="en-GB"/>
          </w:rPr>
          <w:t>transmise en direct en ligne</w:t>
        </w:r>
      </w:hyperlink>
    </w:p>
    <w:p w:rsidRPr="00D35BA4" w:rsidR="007346C0" w:rsidP="5D56F932" w:rsidRDefault="007346C0" w14:paraId="0000000A" w14:textId="77777777" w14:noSpellErr="1">
      <w:pPr>
        <w:jc w:val="both"/>
        <w:rPr>
          <w:b w:val="1"/>
          <w:bCs w:val="1"/>
          <w:lang w:val="en-GB"/>
        </w:rPr>
      </w:pPr>
    </w:p>
    <w:p w:rsidR="00FF3335" w:rsidP="66C4C4A3" w:rsidRDefault="00A400D2" w14:paraId="35F61445" w14:textId="7D80EF11">
      <w:pPr>
        <w:spacing w:line="240" w:lineRule="auto"/>
        <w:jc w:val="both"/>
      </w:pPr>
      <w:r w:rsidRPr="7DD8769A" w:rsidR="096E70B1">
        <w:rPr>
          <w:b w:val="1"/>
          <w:bCs w:val="1"/>
        </w:rPr>
        <w:t>Munich, le 4 juin 2024</w:t>
      </w:r>
      <w:r w:rsidR="096E70B1">
        <w:rPr/>
        <w:t xml:space="preserve"> </w:t>
      </w:r>
      <w:r w:rsidR="00A400D2">
        <w:rPr/>
        <w:t xml:space="preserve">– L'Office européen des brevets (OEB) est fier de révéler aujourd'hui les noms des trois finalistes du Young </w:t>
      </w:r>
      <w:r w:rsidR="00A400D2">
        <w:rPr/>
        <w:t>Inventors</w:t>
      </w:r>
      <w:r w:rsidR="00A400D2">
        <w:rPr/>
        <w:t xml:space="preserve"> </w:t>
      </w:r>
      <w:r w:rsidR="00A400D2">
        <w:rPr/>
        <w:t>Prize</w:t>
      </w:r>
      <w:r w:rsidR="00A400D2">
        <w:rPr/>
        <w:t xml:space="preserve"> dans le cadre du Prix de l'inventeur européen 2024. Le prix rend hommage aux jeunes innovateurs de 30 ans et moins qui, avec leurs inventions scientifiques et technologiques, visent à aborder les enjeux mondiaux critiques énoncés dans les objectifs de développement durable des Nations Unies (ODD de l'ONU). Les trois finalistes ont été choisis pour leurs approches visionnaires en matière de durabilité environnementale, de santé et d'accessibilité. Le prix met en valeur leur passion, leur créativité et leur engagement à bâtir un avenir meilleur.</w:t>
      </w:r>
    </w:p>
    <w:p w:rsidR="007346C0" w:rsidP="66C4C4A3" w:rsidRDefault="73FC449F" w14:paraId="0000000C" w14:textId="1A57D0E8">
      <w:pPr>
        <w:spacing w:line="240" w:lineRule="auto"/>
        <w:jc w:val="both"/>
      </w:pPr>
      <w:r>
        <w:t xml:space="preserve">  </w:t>
      </w:r>
      <w:r>
        <w:br/>
      </w:r>
    </w:p>
    <w:p w:rsidR="007346C0" w:rsidP="1BE3CDF8" w:rsidRDefault="1E40106C" w14:paraId="00000010" w14:textId="311F59A1">
      <w:pPr>
        <w:spacing w:line="240" w:lineRule="auto"/>
        <w:jc w:val="both"/>
      </w:pPr>
      <w:r>
        <w:t>Décerné pour la première fois en 2022, le Young Inventors Prize encourage les prouesses inventives de la jeune génération d'inventeurs dans différents secteurs technologiques et régions géographiques. Contrairement aux catégories traditionnelles du Prix de l'inventeur européen, le Young Inventors Prize n'exige pas de détenir un brevet européen. Le prix comprend une incitation financière pour soutenir les projets en cours des lauréats.</w:t>
      </w:r>
    </w:p>
    <w:p w:rsidR="007346C0" w:rsidP="6FA34147" w:rsidRDefault="00A400D2" w14:paraId="00000011" w14:textId="77777777">
      <w:pPr>
        <w:spacing w:before="240" w:after="240" w:line="240" w:lineRule="auto"/>
        <w:jc w:val="both"/>
        <w:rPr>
          <w:b/>
          <w:bCs/>
          <w:color w:val="BE0F05"/>
        </w:rPr>
      </w:pPr>
      <w:r>
        <w:rPr>
          <w:b/>
          <w:color w:val="BE0F05"/>
        </w:rPr>
        <w:t>Les lauréats de l'édition de 2024</w:t>
      </w:r>
    </w:p>
    <w:p w:rsidR="007346C0" w:rsidP="4CB51862" w:rsidRDefault="00A400D2" w14:paraId="00000012" w14:textId="11CF3C66">
      <w:pPr>
        <w:spacing w:before="240" w:after="240" w:line="240" w:lineRule="auto"/>
        <w:jc w:val="both"/>
      </w:pPr>
      <w:r w:rsidR="00A400D2">
        <w:rPr/>
        <w:t xml:space="preserve">Le classement des trois finalistes de l'édition de 2024 du Young </w:t>
      </w:r>
      <w:r w:rsidR="00A400D2">
        <w:rPr/>
        <w:t xml:space="preserve">Inventors</w:t>
      </w:r>
      <w:r w:rsidR="00A400D2">
        <w:rPr/>
        <w:t xml:space="preserve"> </w:t>
      </w:r>
      <w:r w:rsidR="00A400D2">
        <w:rPr/>
        <w:t xml:space="preserve">Prize</w:t>
      </w:r>
      <w:r w:rsidR="00A400D2">
        <w:rPr/>
        <w:t xml:space="preserve"> sera déterminé par un jury indépendant composé d'anciens finalistes du Prix de l'inventeur européen et du Young </w:t>
      </w:r>
      <w:r w:rsidR="00A400D2">
        <w:rPr/>
        <w:t xml:space="preserve">Inventors</w:t>
      </w:r>
      <w:r w:rsidR="00A400D2">
        <w:rPr/>
        <w:t xml:space="preserve"> </w:t>
      </w:r>
      <w:r w:rsidR="00A400D2">
        <w:rPr/>
        <w:t xml:space="preserve">Prize</w:t>
      </w:r>
      <w:r w:rsidR="00A400D2">
        <w:rPr/>
        <w:t xml:space="preserve">. Les résultats seront annoncés lors d'une cérémonie hybride le 9 juillet 2024 à Malte, qui révélera également les noms des finalistes des catégories du Prix de l'inventeur européen : Industrie, Recherche, PME et Pays </w:t>
      </w:r>
      <w:r w:rsidR="00A400D2">
        <w:rPr/>
        <w:t xml:space="preserve">non membres</w:t>
      </w:r>
      <w:r w:rsidR="00A400D2">
        <w:rPr/>
        <w:t xml:space="preserve"> de l'OEB. Le Prix Œuvre d'une vie, qui n'a pas encore été annoncé, sera également présenté lors de la cérémonie. L'événement sera diffusé en ligne</w:t>
      </w:r>
      <w:r w:rsidR="35256AED">
        <w:rPr/>
        <w:t xml:space="preserve"> </w:t>
      </w:r>
      <w:hyperlink r:id="R08cd2131ac964966">
        <w:r w:rsidRPr="7DD8769A" w:rsidR="35256AED">
          <w:rPr>
            <w:rStyle w:val="Hyperlink"/>
          </w:rPr>
          <w:t>ici</w:t>
        </w:r>
      </w:hyperlink>
      <w:r w:rsidR="35256AED">
        <w:rPr/>
        <w:t xml:space="preserve">.</w:t>
      </w:r>
    </w:p>
    <w:p w:rsidR="007346C0" w:rsidP="6FA34147" w:rsidRDefault="00A400D2" w14:paraId="00000015" w14:textId="732958E2">
      <w:pPr>
        <w:spacing w:before="240" w:after="240" w:line="240" w:lineRule="auto"/>
        <w:jc w:val="both"/>
        <w:rPr>
          <w:b/>
          <w:bCs/>
          <w:color w:val="BE0F05"/>
        </w:rPr>
      </w:pPr>
      <w:r>
        <w:rPr>
          <w:b/>
          <w:color w:val="BE0F05"/>
        </w:rPr>
        <w:t>De jeunes esprits innovants qui relèvent des défis mondiaux</w:t>
      </w:r>
    </w:p>
    <w:p w:rsidR="007346C0" w:rsidP="4CB51862" w:rsidRDefault="00A400D2" w14:paraId="00000016" w14:textId="0B4B2D82">
      <w:pPr>
        <w:spacing w:before="240" w:after="240" w:line="240" w:lineRule="auto"/>
        <w:jc w:val="both"/>
      </w:pPr>
      <w:r>
        <w:t xml:space="preserve">Le jeune Ukrainien de 23 ans, Valentyn Frechka, réalise déjà des progrès significatifs dans le domaine l'innovation environnementale en développant une méthode pour transformer les feuilles mortes en papier recyclable. Ce processus ingénieux offre non seulement une solution </w:t>
      </w:r>
      <w:r>
        <w:lastRenderedPageBreak/>
        <w:t>pour lutter contre la déforestation, mais également pour réduire les émissions de carbone généralement associées à la décomposition des feuilles. L'invention de M. Frechka a le potentiel de révolutionner l'industrie du papier et de l'emballage en fournissant une source alternative de matières premières, contribuant ainsi à l'objectif de développement durable (ODD) 9 des Nations Unies (industrie, innovation et infrastructure) et à l'ODD 12 (modes de consommation et de production durables).</w:t>
      </w:r>
    </w:p>
    <w:p w:rsidR="007346C0" w:rsidP="6FA34147" w:rsidRDefault="00A400D2" w14:paraId="00000017" w14:textId="21C4F663">
      <w:pPr>
        <w:spacing w:before="240" w:after="240" w:line="240" w:lineRule="auto"/>
        <w:jc w:val="both"/>
      </w:pPr>
      <w:r>
        <w:t>Rochelle Niemeijer, une scientifique néerlandaise de 29 ans, a développé un kit de dépistage portable qui utilise l'intelligence artificielle pour l'identification rapide des infections bactériennes, ce qui s'avère crucial dans la lutte contre la résistance aux antibiotiques. Cet instrument innovant est conçu pour rendre accessible des diagnostics précis, même dans des régions isolées et défavorisées, afin d'améliorer l'efficacité des traitements médicaux, conformément à l'objectif de développement durable 3 des Nations Unies (bonne santé et bien-être). Les travaux de Mme Niemeijer permettent non seulement de réaliser des avancées dans le domaine des soins de santé, mais garantissent également une utilisation responsable et efficace des traitements antibiotiques.</w:t>
      </w:r>
    </w:p>
    <w:p w:rsidR="007346C0" w:rsidP="5D56F932" w:rsidRDefault="00A400D2" w14:paraId="00000018" w14:textId="30566342">
      <w:pPr>
        <w:spacing w:before="240" w:after="240" w:line="240" w:lineRule="auto"/>
        <w:jc w:val="both"/>
      </w:pPr>
      <w:r>
        <w:t>Khaoula Ben Ahmed, Ghofrane Ayari, Souleima Ben Temime et Sirine Ayari, une équipe d'inventrices tunisiennes âgées de 27 à 28 ans, ont créé un système de pointe de commande de fauteuil roulant qui utilise la reconnaissance des signaux cérébraux, de la voix, du mouvement des yeux et du visage pour diriger le fauteuil roulant. Cet appareil améliore considérablement la mobilité et l'autonomie des personnes souffrant de handicaps physiques graves, améliorant de façon exponentielle leur qualité de vie. Leurs travaux contribuent directement à l'objectif de développement durable 10 des Nations Unies (réduire les inégalités), en améliorant la qualité de vie des personnes handicapées et en intégrant des technologies innovantes dans les solutions de mobilité personnelle.</w:t>
      </w:r>
    </w:p>
    <w:p w:rsidR="007346C0" w:rsidP="6FA34147" w:rsidRDefault="00A400D2" w14:paraId="00000019" w14:textId="7548C00C">
      <w:pPr>
        <w:spacing w:line="240" w:lineRule="auto"/>
        <w:jc w:val="both"/>
        <w:rPr>
          <w:color w:val="CC0000"/>
        </w:rPr>
      </w:pPr>
      <w:hyperlink w:anchor="prizes?mtm_campaign=EIA2024&amp;mtm_keyword=pressrelease&amp;mtm_medium=press" r:id="R7b548a90abe24e1f">
        <w:r w:rsidRPr="71ABD8E6" w:rsidR="19B32DD3">
          <w:rPr>
            <w:rStyle w:val="Hyperlink"/>
          </w:rPr>
          <w:t>En savoir plus</w:t>
        </w:r>
      </w:hyperlink>
      <w:r w:rsidR="19B32DD3">
        <w:rPr/>
        <w:t xml:space="preserve"> </w:t>
      </w:r>
      <w:r w:rsidR="00A400D2">
        <w:rPr/>
        <w:t>sur</w:t>
      </w:r>
      <w:r w:rsidR="00A400D2">
        <w:rPr/>
        <w:t xml:space="preserve"> les critères d'admissibilité et de sélection du Young </w:t>
      </w:r>
      <w:r w:rsidR="00A400D2">
        <w:rPr/>
        <w:t>Inventors</w:t>
      </w:r>
      <w:r w:rsidR="00A400D2">
        <w:rPr/>
        <w:t xml:space="preserve"> </w:t>
      </w:r>
      <w:r w:rsidR="00A400D2">
        <w:rPr/>
        <w:t>Prize</w:t>
      </w:r>
      <w:r w:rsidR="00A400D2">
        <w:rPr/>
        <w:t>.</w:t>
      </w:r>
    </w:p>
    <w:p w:rsidR="007346C0" w:rsidP="4CB51862" w:rsidRDefault="007346C0" w14:paraId="0000001B" w14:textId="48BCA69F">
      <w:pPr>
        <w:spacing w:line="240" w:lineRule="auto"/>
        <w:jc w:val="both"/>
        <w:rPr>
          <w:lang w:val="en-GB"/>
        </w:rPr>
      </w:pPr>
    </w:p>
    <w:p w:rsidR="007346C0" w:rsidP="6FA34147" w:rsidRDefault="00A400D2" w14:paraId="0000001C" w14:textId="77777777">
      <w:pPr>
        <w:spacing w:after="160" w:line="259" w:lineRule="auto"/>
        <w:rPr>
          <w:sz w:val="20"/>
          <w:szCs w:val="20"/>
        </w:rPr>
      </w:pPr>
      <w:r>
        <w:rPr>
          <w:b/>
          <w:sz w:val="20"/>
        </w:rPr>
        <w:t>Relations avec les médias – Office européen des brevets</w:t>
      </w:r>
    </w:p>
    <w:p w:rsidR="007346C0" w:rsidP="6FA34147" w:rsidRDefault="00A400D2" w14:paraId="0000001D" w14:textId="77777777">
      <w:pPr>
        <w:spacing w:line="240" w:lineRule="auto"/>
        <w:rPr>
          <w:sz w:val="20"/>
          <w:szCs w:val="20"/>
        </w:rPr>
      </w:pPr>
      <w:r>
        <w:rPr>
          <w:b/>
          <w:sz w:val="20"/>
        </w:rPr>
        <w:t>Luis Berenguer Giménez</w:t>
      </w:r>
      <w:r>
        <w:rPr>
          <w:sz w:val="20"/>
        </w:rPr>
        <w:t xml:space="preserve"> </w:t>
      </w:r>
      <w:r>
        <w:br/>
      </w:r>
      <w:r>
        <w:rPr>
          <w:sz w:val="20"/>
        </w:rPr>
        <w:t>Directeur principal Communication / Porte-parole de l'OEB</w:t>
      </w:r>
    </w:p>
    <w:p w:rsidR="007346C0" w:rsidP="6FA34147" w:rsidRDefault="007346C0" w14:paraId="0000001E" w14:textId="77777777">
      <w:pPr>
        <w:spacing w:line="240" w:lineRule="auto"/>
        <w:rPr>
          <w:b/>
          <w:bCs/>
          <w:sz w:val="20"/>
          <w:szCs w:val="20"/>
          <w:lang w:val="en-GB"/>
        </w:rPr>
      </w:pPr>
    </w:p>
    <w:p w:rsidR="007346C0" w:rsidP="6FA34147" w:rsidRDefault="00A400D2" w14:paraId="0000001F" w14:textId="77777777">
      <w:pPr>
        <w:spacing w:line="240" w:lineRule="auto"/>
        <w:rPr>
          <w:sz w:val="20"/>
          <w:szCs w:val="20"/>
        </w:rPr>
      </w:pPr>
      <w:r>
        <w:rPr>
          <w:b/>
          <w:sz w:val="20"/>
        </w:rPr>
        <w:t>Service presse de l'OEB</w:t>
      </w:r>
    </w:p>
    <w:p w:rsidR="007346C0" w:rsidP="1BE3CDF8" w:rsidRDefault="00CA23A3" w14:paraId="56937245" w14:textId="38924F44">
      <w:pPr>
        <w:pStyle w:val="Normal0"/>
        <w:spacing w:before="240" w:after="240" w:line="240" w:lineRule="auto"/>
        <w:jc w:val="both"/>
        <w:rPr>
          <w:sz w:val="20"/>
          <w:szCs w:val="20"/>
        </w:rPr>
      </w:pPr>
      <w:hyperlink r:id="rId10">
        <w:r w:rsidR="00EC76A3">
          <w:rPr>
            <w:color w:val="0000FF"/>
            <w:sz w:val="20"/>
            <w:u w:val="single"/>
          </w:rPr>
          <w:t>press@epo.org</w:t>
        </w:r>
      </w:hyperlink>
      <w:r w:rsidR="00EC76A3">
        <w:rPr>
          <w:sz w:val="20"/>
        </w:rPr>
        <w:t xml:space="preserve"> </w:t>
      </w:r>
      <w:r w:rsidR="00EC76A3">
        <w:br/>
      </w:r>
      <w:r w:rsidR="00EC76A3">
        <w:rPr>
          <w:sz w:val="20"/>
        </w:rPr>
        <w:t>Tél. : +49 89 2399-1833</w:t>
      </w:r>
      <w:r w:rsidR="00EC76A3">
        <w:br/>
      </w:r>
    </w:p>
    <w:p w:rsidR="007346C0" w:rsidP="5D56F932" w:rsidRDefault="734F383E" w14:paraId="7A40CAC6" w14:textId="4FEFEAFC">
      <w:pPr>
        <w:pStyle w:val="Normal0"/>
        <w:spacing w:before="240" w:after="240" w:line="240" w:lineRule="auto"/>
        <w:jc w:val="both"/>
        <w:rPr>
          <w:color w:val="000000" w:themeColor="text1"/>
          <w:sz w:val="18"/>
          <w:szCs w:val="18"/>
        </w:rPr>
      </w:pPr>
      <w:r>
        <w:rPr>
          <w:b/>
          <w:color w:val="000000" w:themeColor="text1"/>
          <w:sz w:val="18"/>
        </w:rPr>
        <w:t>À propos du Young Inventors Prize</w:t>
      </w:r>
    </w:p>
    <w:p w:rsidR="007346C0" w:rsidP="3A474CC5" w:rsidRDefault="734F383E" w14:paraId="00000020" w14:textId="72BC85FA">
      <w:pPr>
        <w:pStyle w:val="Normal0"/>
        <w:spacing w:before="240" w:after="240" w:line="240" w:lineRule="auto"/>
        <w:jc w:val="both"/>
        <w:rPr>
          <w:b w:val="1"/>
          <w:bCs w:val="1"/>
          <w:color w:val="000000" w:themeColor="text1"/>
          <w:sz w:val="18"/>
          <w:szCs w:val="18"/>
        </w:rPr>
      </w:pPr>
      <w:r w:rsidRPr="7DD8769A" w:rsidR="734F383E">
        <w:rPr>
          <w:color w:val="000000" w:themeColor="text1" w:themeTint="FF" w:themeShade="FF"/>
          <w:sz w:val="18"/>
          <w:szCs w:val="18"/>
        </w:rPr>
        <w:t xml:space="preserve">L'Office européen des brevets a créé le Young </w:t>
      </w:r>
      <w:r w:rsidRPr="7DD8769A" w:rsidR="734F383E">
        <w:rPr>
          <w:color w:val="000000" w:themeColor="text1" w:themeTint="FF" w:themeShade="FF"/>
          <w:sz w:val="18"/>
          <w:szCs w:val="18"/>
        </w:rPr>
        <w:t>Inventors</w:t>
      </w:r>
      <w:r w:rsidRPr="7DD8769A" w:rsidR="734F383E">
        <w:rPr>
          <w:color w:val="000000" w:themeColor="text1" w:themeTint="FF" w:themeShade="FF"/>
          <w:sz w:val="18"/>
          <w:szCs w:val="18"/>
        </w:rPr>
        <w:t xml:space="preserve"> </w:t>
      </w:r>
      <w:r w:rsidRPr="7DD8769A" w:rsidR="734F383E">
        <w:rPr>
          <w:color w:val="000000" w:themeColor="text1" w:themeTint="FF" w:themeShade="FF"/>
          <w:sz w:val="18"/>
          <w:szCs w:val="18"/>
        </w:rPr>
        <w:t>Prize</w:t>
      </w:r>
      <w:r w:rsidRPr="7DD8769A" w:rsidR="734F383E">
        <w:rPr>
          <w:color w:val="000000" w:themeColor="text1" w:themeTint="FF" w:themeShade="FF"/>
          <w:sz w:val="18"/>
          <w:szCs w:val="18"/>
        </w:rPr>
        <w:t xml:space="preserve"> en 2021 pour inspirer la prochaine génération d'inventeurs et d'inventrices. Le prix s'adresse aux innovateurs et innovatrices du monde entier âgé(e)s de 30 ans ou moins et reconnaît les initiatives qui utilisent la technologie pour contribuer aux objectifs de développement durable des Nations Unies. Le lauréat ou la lauréate reçoit 20 000 EUR et les finalistes arrivant en deuxième et troisième position reçoivent respectivement 10 000 EUR et 5 000 EUR. Un jury indépendant composé d'anciens finalistes du Prix de l'inventeur européen et du Young </w:t>
      </w:r>
      <w:r w:rsidRPr="7DD8769A" w:rsidR="734F383E">
        <w:rPr>
          <w:color w:val="000000" w:themeColor="text1" w:themeTint="FF" w:themeShade="FF"/>
          <w:sz w:val="18"/>
          <w:szCs w:val="18"/>
        </w:rPr>
        <w:t>Inventors</w:t>
      </w:r>
      <w:r w:rsidRPr="7DD8769A" w:rsidR="734F383E">
        <w:rPr>
          <w:color w:val="000000" w:themeColor="text1" w:themeTint="FF" w:themeShade="FF"/>
          <w:sz w:val="18"/>
          <w:szCs w:val="18"/>
        </w:rPr>
        <w:t xml:space="preserve"> </w:t>
      </w:r>
      <w:r w:rsidRPr="7DD8769A" w:rsidR="734F383E">
        <w:rPr>
          <w:color w:val="000000" w:themeColor="text1" w:themeTint="FF" w:themeShade="FF"/>
          <w:sz w:val="18"/>
          <w:szCs w:val="18"/>
        </w:rPr>
        <w:t>Prize</w:t>
      </w:r>
      <w:r w:rsidRPr="7DD8769A" w:rsidR="734F383E">
        <w:rPr>
          <w:color w:val="000000" w:themeColor="text1" w:themeTint="FF" w:themeShade="FF"/>
          <w:sz w:val="18"/>
          <w:szCs w:val="18"/>
        </w:rPr>
        <w:t xml:space="preserve"> sélectionne les finalistes et les lauréats. L'OEB remettra le prix lors de la cérémonie hybride du Prix de l'inventeur européen 2024, le 9 juillet. Contrairement aux catégories traditionnelles, les finalistes du Young </w:t>
      </w:r>
      <w:r w:rsidRPr="7DD8769A" w:rsidR="734F383E">
        <w:rPr>
          <w:color w:val="000000" w:themeColor="text1" w:themeTint="FF" w:themeShade="FF"/>
          <w:sz w:val="18"/>
          <w:szCs w:val="18"/>
        </w:rPr>
        <w:t>Inventors</w:t>
      </w:r>
      <w:r w:rsidRPr="7DD8769A" w:rsidR="734F383E">
        <w:rPr>
          <w:color w:val="000000" w:themeColor="text1" w:themeTint="FF" w:themeShade="FF"/>
          <w:sz w:val="18"/>
          <w:szCs w:val="18"/>
        </w:rPr>
        <w:t xml:space="preserve"> </w:t>
      </w:r>
      <w:r w:rsidRPr="7DD8769A" w:rsidR="734F383E">
        <w:rPr>
          <w:color w:val="000000" w:themeColor="text1" w:themeTint="FF" w:themeShade="FF"/>
          <w:sz w:val="18"/>
          <w:szCs w:val="18"/>
        </w:rPr>
        <w:t>Prize</w:t>
      </w:r>
      <w:r w:rsidRPr="7DD8769A" w:rsidR="734F383E">
        <w:rPr>
          <w:color w:val="000000" w:themeColor="text1" w:themeTint="FF" w:themeShade="FF"/>
          <w:sz w:val="18"/>
          <w:szCs w:val="18"/>
        </w:rPr>
        <w:t xml:space="preserve"> n'ont pas besoin de détenir un brevet européen pour être candidats pour ce prix. </w:t>
      </w:r>
      <w:hyperlink w:anchor="prizes" r:id="Rbcd75269ba8c4342">
        <w:r w:rsidRPr="7DD8769A" w:rsidR="734F383E">
          <w:rPr>
            <w:rStyle w:val="Hyperlink"/>
            <w:sz w:val="18"/>
            <w:szCs w:val="18"/>
          </w:rPr>
          <w:t>En savoir plus</w:t>
        </w:r>
      </w:hyperlink>
      <w:r w:rsidRPr="7DD8769A" w:rsidR="734F383E">
        <w:rPr>
          <w:color w:val="000000" w:themeColor="text1" w:themeTint="FF" w:themeShade="FF"/>
          <w:sz w:val="18"/>
          <w:szCs w:val="18"/>
        </w:rPr>
        <w:t xml:space="preserve"> </w:t>
      </w:r>
      <w:r w:rsidRPr="7DD8769A" w:rsidR="734F383E">
        <w:rPr>
          <w:color w:val="000000" w:themeColor="text1" w:themeTint="FF" w:themeShade="FF"/>
          <w:sz w:val="18"/>
          <w:szCs w:val="18"/>
        </w:rPr>
        <w:t>sur</w:t>
      </w:r>
      <w:r w:rsidRPr="7DD8769A" w:rsidR="734F383E">
        <w:rPr>
          <w:color w:val="000000" w:themeColor="text1" w:themeTint="FF" w:themeShade="FF"/>
          <w:sz w:val="18"/>
          <w:szCs w:val="18"/>
        </w:rPr>
        <w:t xml:space="preserve"> les critères d'admissibilité et de sélection du Young </w:t>
      </w:r>
      <w:r w:rsidRPr="7DD8769A" w:rsidR="734F383E">
        <w:rPr>
          <w:color w:val="000000" w:themeColor="text1" w:themeTint="FF" w:themeShade="FF"/>
          <w:sz w:val="18"/>
          <w:szCs w:val="18"/>
        </w:rPr>
        <w:t>Inventors</w:t>
      </w:r>
      <w:r w:rsidRPr="7DD8769A" w:rsidR="734F383E">
        <w:rPr>
          <w:color w:val="000000" w:themeColor="text1" w:themeTint="FF" w:themeShade="FF"/>
          <w:sz w:val="18"/>
          <w:szCs w:val="18"/>
        </w:rPr>
        <w:t xml:space="preserve"> </w:t>
      </w:r>
      <w:r w:rsidRPr="7DD8769A" w:rsidR="734F383E">
        <w:rPr>
          <w:color w:val="000000" w:themeColor="text1" w:themeTint="FF" w:themeShade="FF"/>
          <w:sz w:val="18"/>
          <w:szCs w:val="18"/>
        </w:rPr>
        <w:t>Prize</w:t>
      </w:r>
      <w:r w:rsidRPr="7DD8769A" w:rsidR="734F383E">
        <w:rPr>
          <w:color w:val="000000" w:themeColor="text1" w:themeTint="FF" w:themeShade="FF"/>
          <w:sz w:val="18"/>
          <w:szCs w:val="18"/>
        </w:rPr>
        <w:t>.</w:t>
      </w:r>
    </w:p>
    <w:p w:rsidR="4FB848C7" w:rsidP="7DD8769A" w:rsidRDefault="4FB848C7" w14:paraId="33D4188D" w14:textId="6D7F69BD">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DD8769A" w:rsidR="4FB848C7">
        <w:rPr>
          <w:rFonts w:ascii="Arial" w:hAnsi="Arial" w:eastAsia="Arial" w:cs="Arial"/>
          <w:b w:val="1"/>
          <w:bCs w:val="1"/>
          <w:i w:val="0"/>
          <w:iCs w:val="0"/>
          <w:caps w:val="0"/>
          <w:smallCaps w:val="0"/>
          <w:strike w:val="0"/>
          <w:dstrike w:val="0"/>
          <w:noProof w:val="0"/>
          <w:color w:val="000000" w:themeColor="text1" w:themeTint="FF" w:themeShade="FF"/>
          <w:sz w:val="18"/>
          <w:szCs w:val="18"/>
          <w:u w:val="none"/>
          <w:lang w:val="fr-FR"/>
        </w:rPr>
        <w:t xml:space="preserve">À propos du Prix de l’inventeur européen </w:t>
      </w:r>
      <w:r w:rsidRPr="7DD8769A" w:rsidR="4FB848C7">
        <w:rPr>
          <w:rFonts w:ascii="Arial" w:hAnsi="Arial" w:eastAsia="Arial" w:cs="Arial"/>
          <w:b w:val="0"/>
          <w:bCs w:val="0"/>
          <w:i w:val="0"/>
          <w:iCs w:val="0"/>
          <w:caps w:val="0"/>
          <w:smallCaps w:val="0"/>
          <w:noProof w:val="0"/>
          <w:color w:val="000000" w:themeColor="text1" w:themeTint="FF" w:themeShade="FF"/>
          <w:sz w:val="18"/>
          <w:szCs w:val="18"/>
          <w:lang w:val="en-GB"/>
        </w:rPr>
        <w:t xml:space="preserve"> </w:t>
      </w:r>
    </w:p>
    <w:p w:rsidR="4FB848C7" w:rsidP="7DD8769A" w:rsidRDefault="4FB848C7" w14:paraId="7897C0D1" w14:textId="460BEE56">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DD8769A" w:rsidR="4FB848C7">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 des prix d'innovation les plus prestigieux d'Europe. Lancé par l'OEB en 2006, il récompense des personnes et des équipes qui ont trouvé des solutions à certains des plus grands défis de notre époque.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7b0ca556d3cb4210">
        <w:r w:rsidRPr="7DD8769A" w:rsidR="4FB848C7">
          <w:rPr>
            <w:rStyle w:val="Hyperlink"/>
            <w:rFonts w:ascii="Arial" w:hAnsi="Arial" w:eastAsia="Arial" w:cs="Arial"/>
            <w:b w:val="0"/>
            <w:bCs w:val="0"/>
            <w:i w:val="0"/>
            <w:iCs w:val="0"/>
            <w:caps w:val="0"/>
            <w:smallCaps w:val="0"/>
            <w:strike w:val="0"/>
            <w:dstrike w:val="0"/>
            <w:noProof w:val="0"/>
            <w:sz w:val="18"/>
            <w:szCs w:val="18"/>
            <w:lang w:val="fr-FR"/>
          </w:rPr>
          <w:t>ici</w:t>
        </w:r>
      </w:hyperlink>
      <w:r w:rsidRPr="7DD8769A" w:rsidR="4FB848C7">
        <w:rPr>
          <w:rFonts w:ascii="Arial" w:hAnsi="Arial" w:eastAsia="Arial" w:cs="Arial"/>
          <w:b w:val="0"/>
          <w:bCs w:val="0"/>
          <w:i w:val="0"/>
          <w:iCs w:val="0"/>
          <w:caps w:val="0"/>
          <w:smallCaps w:val="0"/>
          <w:noProof w:val="0"/>
          <w:color w:val="000000" w:themeColor="text1" w:themeTint="FF" w:themeShade="FF"/>
          <w:sz w:val="18"/>
          <w:szCs w:val="18"/>
          <w:lang w:val="fr-FR"/>
        </w:rPr>
        <w:t xml:space="preserve">.    </w:t>
      </w:r>
    </w:p>
    <w:p w:rsidR="4FB848C7" w:rsidP="7DD8769A" w:rsidRDefault="4FB848C7" w14:paraId="687BD032" w14:textId="2FBE4EC6">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DD8769A" w:rsidR="4FB848C7">
        <w:rPr>
          <w:rFonts w:ascii="Arial" w:hAnsi="Arial" w:eastAsia="Arial" w:cs="Arial"/>
          <w:b w:val="1"/>
          <w:bCs w:val="1"/>
          <w:i w:val="0"/>
          <w:iCs w:val="0"/>
          <w:caps w:val="0"/>
          <w:smallCaps w:val="0"/>
          <w:noProof w:val="0"/>
          <w:color w:val="000000" w:themeColor="text1" w:themeTint="FF" w:themeShade="FF"/>
          <w:sz w:val="18"/>
          <w:szCs w:val="18"/>
          <w:lang w:val="fr-FR"/>
        </w:rPr>
        <w:t xml:space="preserve">À propos de l'OEB </w:t>
      </w:r>
    </w:p>
    <w:p w:rsidR="4FB848C7" w:rsidP="7DD8769A" w:rsidRDefault="4FB848C7" w14:paraId="6D483E83" w14:textId="6F184984">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DD8769A" w:rsidR="4FB848C7">
        <w:rPr>
          <w:rFonts w:ascii="Arial" w:hAnsi="Arial" w:eastAsia="Arial" w:cs="Arial"/>
          <w:b w:val="0"/>
          <w:bCs w:val="0"/>
          <w:i w:val="0"/>
          <w:iCs w:val="0"/>
          <w:caps w:val="0"/>
          <w:smallCaps w:val="0"/>
          <w:noProof w:val="0"/>
          <w:color w:val="000000" w:themeColor="text1" w:themeTint="FF" w:themeShade="FF"/>
          <w:sz w:val="18"/>
          <w:szCs w:val="18"/>
          <w:lang w:val="fr-FR"/>
        </w:rPr>
        <w:t xml:space="preserve">Fort d'un effectif de 6 300 personnes, </w:t>
      </w:r>
      <w:hyperlink r:id="Rcf052c1d560c4779">
        <w:r w:rsidRPr="7DD8769A" w:rsidR="4FB848C7">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7DD8769A" w:rsidR="4FB848C7">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7DD8769A" w:rsidP="7DD8769A" w:rsidRDefault="7DD8769A" w14:paraId="684A2315" w14:textId="7DD9DFEE">
      <w:pPr>
        <w:pStyle w:val="Normal"/>
        <w:spacing w:before="240" w:after="240"/>
        <w:jc w:val="both"/>
        <w:rPr>
          <w:sz w:val="18"/>
          <w:szCs w:val="18"/>
        </w:rPr>
      </w:pPr>
    </w:p>
    <w:p w:rsidR="007346C0" w:rsidP="6FA34147" w:rsidRDefault="007346C0" w14:paraId="00000025" w14:textId="77777777">
      <w:pPr>
        <w:widowControl w:val="0"/>
        <w:tabs>
          <w:tab w:val="left" w:pos="939"/>
        </w:tabs>
        <w:spacing w:before="3" w:line="240" w:lineRule="auto"/>
        <w:ind w:left="939"/>
        <w:rPr>
          <w:lang w:val="en-GB"/>
        </w:rPr>
      </w:pPr>
    </w:p>
    <w:sectPr w:rsidR="007346C0">
      <w:pgSz w:w="11909" w:h="16834" w:orient="portrait"/>
      <w:pgMar w:top="1440" w:right="1440" w:bottom="1440" w:left="1440" w:header="720" w:footer="720" w:gutter="0"/>
      <w:pgNumType w:start="1"/>
      <w:cols w:space="720"/>
      <w:headerReference w:type="default" r:id="Rff7893b10add4478"/>
      <w:footerReference w:type="default" r:id="Re4bc2ef48abc4e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514D167F-8DAC-48F1-8C21-CFC7F3F3C501}" r:id="rId1"/>
    <w:embedItalic w:fontKey="{34044E4A-A7CB-45BB-9EE0-17474A568DB6}"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1132762-D9A5-452E-8786-BCFB58CDDBC3}"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801D4DA" w:rsidTr="0801D4DA" w14:paraId="4ED4B219">
      <w:trPr>
        <w:trHeight w:val="300"/>
      </w:trPr>
      <w:tc>
        <w:tcPr>
          <w:tcW w:w="3005" w:type="dxa"/>
          <w:tcMar/>
        </w:tcPr>
        <w:p w:rsidR="0801D4DA" w:rsidP="0801D4DA" w:rsidRDefault="0801D4DA" w14:paraId="2B7EB81E" w14:textId="40009C4B">
          <w:pPr>
            <w:pStyle w:val="Header"/>
            <w:bidi w:val="0"/>
            <w:ind w:left="-115"/>
            <w:jc w:val="left"/>
          </w:pPr>
        </w:p>
      </w:tc>
      <w:tc>
        <w:tcPr>
          <w:tcW w:w="3005" w:type="dxa"/>
          <w:tcMar/>
        </w:tcPr>
        <w:p w:rsidR="0801D4DA" w:rsidP="0801D4DA" w:rsidRDefault="0801D4DA" w14:paraId="4C768CE5" w14:textId="20EF1F25">
          <w:pPr>
            <w:pStyle w:val="Header"/>
            <w:bidi w:val="0"/>
            <w:jc w:val="center"/>
          </w:pPr>
        </w:p>
      </w:tc>
      <w:tc>
        <w:tcPr>
          <w:tcW w:w="3005" w:type="dxa"/>
          <w:tcMar/>
        </w:tcPr>
        <w:p w:rsidR="0801D4DA" w:rsidP="0801D4DA" w:rsidRDefault="0801D4DA" w14:paraId="50FAB64D" w14:textId="42A2AD88">
          <w:pPr>
            <w:pStyle w:val="Header"/>
            <w:bidi w:val="0"/>
            <w:ind w:right="-115"/>
            <w:jc w:val="right"/>
          </w:pPr>
        </w:p>
      </w:tc>
    </w:tr>
  </w:tbl>
  <w:p w:rsidR="0801D4DA" w:rsidP="0801D4DA" w:rsidRDefault="0801D4DA" w14:paraId="18213F70" w14:textId="440A777D">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801D4DA" w:rsidTr="0801D4DA" w14:paraId="39CA347F">
      <w:trPr>
        <w:trHeight w:val="300"/>
      </w:trPr>
      <w:tc>
        <w:tcPr>
          <w:tcW w:w="3005" w:type="dxa"/>
          <w:tcMar/>
        </w:tcPr>
        <w:p w:rsidR="0801D4DA" w:rsidP="0801D4DA" w:rsidRDefault="0801D4DA" w14:paraId="75EA49EB" w14:textId="340767C9">
          <w:pPr>
            <w:tabs>
              <w:tab w:val="center" w:leader="none" w:pos="4680"/>
              <w:tab w:val="right" w:leader="none" w:pos="9360"/>
            </w:tabs>
            <w:bidi w:val="0"/>
            <w:spacing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0801D4DA">
            <w:drawing>
              <wp:inline wp14:editId="49C7C988" wp14:anchorId="37C6594D">
                <wp:extent cx="1485900" cy="742950"/>
                <wp:effectExtent l="0" t="0" r="0" b="0"/>
                <wp:docPr id="1610401484" name="" descr="Logo European Patent Office" title=""/>
                <wp:cNvGraphicFramePr>
                  <a:graphicFrameLocks noChangeAspect="1"/>
                </wp:cNvGraphicFramePr>
                <a:graphic>
                  <a:graphicData uri="http://schemas.openxmlformats.org/drawingml/2006/picture">
                    <pic:pic>
                      <pic:nvPicPr>
                        <pic:cNvPr id="0" name=""/>
                        <pic:cNvPicPr/>
                      </pic:nvPicPr>
                      <pic:blipFill>
                        <a:blip r:embed="Rb5efd8d5f8f842d1">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0801D4DA" w:rsidP="0801D4DA" w:rsidRDefault="0801D4DA" w14:paraId="55E5690C" w14:textId="0B060F9A">
          <w:pPr>
            <w:tabs>
              <w:tab w:val="center" w:leader="none" w:pos="4680"/>
              <w:tab w:val="right" w:leader="none" w:pos="9360"/>
            </w:tabs>
            <w:bidi w:val="0"/>
            <w:spacing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5" w:type="dxa"/>
          <w:tcMar/>
        </w:tcPr>
        <w:p w:rsidR="0801D4DA" w:rsidP="0801D4DA" w:rsidRDefault="0801D4DA" w14:paraId="620B0222" w14:textId="05122A60">
          <w:pPr>
            <w:tabs>
              <w:tab w:val="center" w:leader="none" w:pos="4680"/>
              <w:tab w:val="right" w:leader="none" w:pos="9360"/>
            </w:tabs>
            <w:bidi w:val="0"/>
            <w:spacing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0801D4DA">
            <w:drawing>
              <wp:inline wp14:editId="699E8AAA" wp14:anchorId="1524DB1E">
                <wp:extent cx="1685925" cy="609600"/>
                <wp:effectExtent l="0" t="0" r="0" b="0"/>
                <wp:docPr id="1499486598" name="" title=""/>
                <wp:cNvGraphicFramePr>
                  <a:graphicFrameLocks noChangeAspect="1"/>
                </wp:cNvGraphicFramePr>
                <a:graphic>
                  <a:graphicData uri="http://schemas.openxmlformats.org/drawingml/2006/picture">
                    <pic:pic>
                      <pic:nvPicPr>
                        <pic:cNvPr id="0" name=""/>
                        <pic:cNvPicPr/>
                      </pic:nvPicPr>
                      <pic:blipFill>
                        <a:blip r:embed="R123ceef0ecdd47c2">
                          <a:extLst>
                            <a:ext xmlns:a="http://schemas.openxmlformats.org/drawingml/2006/main" uri="{28A0092B-C50C-407E-A947-70E740481C1C}">
                              <a14:useLocalDpi val="0"/>
                            </a:ext>
                          </a:extLst>
                        </a:blip>
                        <a:stretch>
                          <a:fillRect/>
                        </a:stretch>
                      </pic:blipFill>
                      <pic:spPr>
                        <a:xfrm>
                          <a:off x="0" y="0"/>
                          <a:ext cx="1685925" cy="609600"/>
                        </a:xfrm>
                        <a:prstGeom prst="rect">
                          <a:avLst/>
                        </a:prstGeom>
                      </pic:spPr>
                    </pic:pic>
                  </a:graphicData>
                </a:graphic>
              </wp:inline>
            </w:drawing>
          </w:r>
        </w:p>
      </w:tc>
    </w:tr>
  </w:tbl>
  <w:p w:rsidR="0801D4DA" w:rsidP="0801D4DA" w:rsidRDefault="0801D4DA" w14:paraId="78FA067E" w14:textId="292C0EA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0AFA"/>
    <w:multiLevelType w:val="multilevel"/>
    <w:tmpl w:val="BC323D7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CE353D"/>
    <w:multiLevelType w:val="multilevel"/>
    <w:tmpl w:val="CE1CA1F0"/>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2" w15:restartNumberingAfterBreak="0">
    <w:nsid w:val="221660AD"/>
    <w:multiLevelType w:val="multilevel"/>
    <w:tmpl w:val="8C62F06E"/>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59643B"/>
    <w:multiLevelType w:val="hybridMultilevel"/>
    <w:tmpl w:val="FFFFFFFF"/>
    <w:lvl w:ilvl="0" w:tplc="4776DC5A">
      <w:start w:val="1"/>
      <w:numFmt w:val="bullet"/>
      <w:lvlText w:val="●"/>
      <w:lvlJc w:val="left"/>
      <w:pPr>
        <w:ind w:left="720" w:hanging="360"/>
      </w:pPr>
      <w:rPr>
        <w:rFonts w:hint="default" w:ascii="Noto Sans Symbols" w:hAnsi="Noto Sans Symbols"/>
      </w:rPr>
    </w:lvl>
    <w:lvl w:ilvl="1" w:tplc="FB8E349C">
      <w:start w:val="1"/>
      <w:numFmt w:val="bullet"/>
      <w:lvlText w:val="o"/>
      <w:lvlJc w:val="left"/>
      <w:pPr>
        <w:ind w:left="1440" w:hanging="360"/>
      </w:pPr>
      <w:rPr>
        <w:rFonts w:hint="default" w:ascii="Courier New" w:hAnsi="Courier New"/>
      </w:rPr>
    </w:lvl>
    <w:lvl w:ilvl="2" w:tplc="A5F89FD0">
      <w:start w:val="1"/>
      <w:numFmt w:val="bullet"/>
      <w:lvlText w:val="▪"/>
      <w:lvlJc w:val="left"/>
      <w:pPr>
        <w:ind w:left="2160" w:hanging="360"/>
      </w:pPr>
      <w:rPr>
        <w:rFonts w:hint="default" w:ascii="Noto Sans Symbols" w:hAnsi="Noto Sans Symbols"/>
      </w:rPr>
    </w:lvl>
    <w:lvl w:ilvl="3" w:tplc="9CCE3B3E">
      <w:start w:val="1"/>
      <w:numFmt w:val="bullet"/>
      <w:lvlText w:val="●"/>
      <w:lvlJc w:val="left"/>
      <w:pPr>
        <w:ind w:left="2880" w:hanging="360"/>
      </w:pPr>
      <w:rPr>
        <w:rFonts w:hint="default" w:ascii="Noto Sans Symbols" w:hAnsi="Noto Sans Symbols"/>
      </w:rPr>
    </w:lvl>
    <w:lvl w:ilvl="4" w:tplc="3CC48B2C">
      <w:start w:val="1"/>
      <w:numFmt w:val="bullet"/>
      <w:lvlText w:val="o"/>
      <w:lvlJc w:val="left"/>
      <w:pPr>
        <w:ind w:left="3600" w:hanging="360"/>
      </w:pPr>
      <w:rPr>
        <w:rFonts w:hint="default" w:ascii="Courier New" w:hAnsi="Courier New"/>
      </w:rPr>
    </w:lvl>
    <w:lvl w:ilvl="5" w:tplc="BBCC21BA">
      <w:start w:val="1"/>
      <w:numFmt w:val="bullet"/>
      <w:lvlText w:val="▪"/>
      <w:lvlJc w:val="left"/>
      <w:pPr>
        <w:ind w:left="4320" w:hanging="360"/>
      </w:pPr>
      <w:rPr>
        <w:rFonts w:hint="default" w:ascii="Noto Sans Symbols" w:hAnsi="Noto Sans Symbols"/>
      </w:rPr>
    </w:lvl>
    <w:lvl w:ilvl="6" w:tplc="1D302C76">
      <w:start w:val="1"/>
      <w:numFmt w:val="bullet"/>
      <w:lvlText w:val="●"/>
      <w:lvlJc w:val="left"/>
      <w:pPr>
        <w:ind w:left="5040" w:hanging="360"/>
      </w:pPr>
      <w:rPr>
        <w:rFonts w:hint="default" w:ascii="Noto Sans Symbols" w:hAnsi="Noto Sans Symbols"/>
      </w:rPr>
    </w:lvl>
    <w:lvl w:ilvl="7" w:tplc="20466150">
      <w:start w:val="1"/>
      <w:numFmt w:val="bullet"/>
      <w:lvlText w:val="o"/>
      <w:lvlJc w:val="left"/>
      <w:pPr>
        <w:ind w:left="5760" w:hanging="360"/>
      </w:pPr>
      <w:rPr>
        <w:rFonts w:hint="default" w:ascii="Courier New" w:hAnsi="Courier New"/>
      </w:rPr>
    </w:lvl>
    <w:lvl w:ilvl="8" w:tplc="C1B012CA">
      <w:start w:val="1"/>
      <w:numFmt w:val="bullet"/>
      <w:lvlText w:val="▪"/>
      <w:lvlJc w:val="left"/>
      <w:pPr>
        <w:ind w:left="6480" w:hanging="360"/>
      </w:pPr>
      <w:rPr>
        <w:rFonts w:hint="default" w:ascii="Noto Sans Symbols" w:hAnsi="Noto Sans Symbols"/>
      </w:rPr>
    </w:lvl>
  </w:abstractNum>
  <w:abstractNum w:abstractNumId="4" w15:restartNumberingAfterBreak="0">
    <w:nsid w:val="3B77727B"/>
    <w:multiLevelType w:val="multilevel"/>
    <w:tmpl w:val="368CF55C"/>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5" w15:restartNumberingAfterBreak="0">
    <w:nsid w:val="49C71264"/>
    <w:multiLevelType w:val="multilevel"/>
    <w:tmpl w:val="B296C7EA"/>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6" w15:restartNumberingAfterBreak="0">
    <w:nsid w:val="52543504"/>
    <w:multiLevelType w:val="multilevel"/>
    <w:tmpl w:val="AED0F45C"/>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7" w15:restartNumberingAfterBreak="0">
    <w:nsid w:val="719355C1"/>
    <w:multiLevelType w:val="multilevel"/>
    <w:tmpl w:val="8EB0735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3460B53"/>
    <w:multiLevelType w:val="multilevel"/>
    <w:tmpl w:val="22DA5380"/>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9" w15:restartNumberingAfterBreak="0">
    <w:nsid w:val="7AF315E2"/>
    <w:multiLevelType w:val="multilevel"/>
    <w:tmpl w:val="51E2DA2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61176657">
    <w:abstractNumId w:val="3"/>
  </w:num>
  <w:num w:numId="2" w16cid:durableId="1033386311">
    <w:abstractNumId w:val="1"/>
  </w:num>
  <w:num w:numId="3" w16cid:durableId="850293353">
    <w:abstractNumId w:val="7"/>
  </w:num>
  <w:num w:numId="4" w16cid:durableId="1414937990">
    <w:abstractNumId w:val="0"/>
  </w:num>
  <w:num w:numId="5" w16cid:durableId="517231654">
    <w:abstractNumId w:val="9"/>
  </w:num>
  <w:num w:numId="6" w16cid:durableId="829370922">
    <w:abstractNumId w:val="2"/>
  </w:num>
  <w:num w:numId="7" w16cid:durableId="377977062">
    <w:abstractNumId w:val="6"/>
  </w:num>
  <w:num w:numId="8" w16cid:durableId="1462190333">
    <w:abstractNumId w:val="8"/>
  </w:num>
  <w:num w:numId="9" w16cid:durableId="398286178">
    <w:abstractNumId w:val="5"/>
  </w:num>
  <w:num w:numId="10" w16cid:durableId="917248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6C0"/>
    <w:rsid w:val="00042B56"/>
    <w:rsid w:val="00082201"/>
    <w:rsid w:val="000C31B5"/>
    <w:rsid w:val="000F5BF2"/>
    <w:rsid w:val="0013D935"/>
    <w:rsid w:val="00143241"/>
    <w:rsid w:val="00151E4F"/>
    <w:rsid w:val="00172F75"/>
    <w:rsid w:val="001A4882"/>
    <w:rsid w:val="00212C8A"/>
    <w:rsid w:val="002462AF"/>
    <w:rsid w:val="002D506A"/>
    <w:rsid w:val="003E1F93"/>
    <w:rsid w:val="003F484E"/>
    <w:rsid w:val="00420591"/>
    <w:rsid w:val="00482E7E"/>
    <w:rsid w:val="004F6E1E"/>
    <w:rsid w:val="00516ABD"/>
    <w:rsid w:val="00567C77"/>
    <w:rsid w:val="00575266"/>
    <w:rsid w:val="005869A8"/>
    <w:rsid w:val="005B71E9"/>
    <w:rsid w:val="00730F9E"/>
    <w:rsid w:val="007346C0"/>
    <w:rsid w:val="00817D53"/>
    <w:rsid w:val="008566B5"/>
    <w:rsid w:val="00864877"/>
    <w:rsid w:val="008B35F3"/>
    <w:rsid w:val="008B5547"/>
    <w:rsid w:val="008E7636"/>
    <w:rsid w:val="00910E16"/>
    <w:rsid w:val="00945A7B"/>
    <w:rsid w:val="00951C33"/>
    <w:rsid w:val="00A400D2"/>
    <w:rsid w:val="00A75216"/>
    <w:rsid w:val="00A77C45"/>
    <w:rsid w:val="00AC2882"/>
    <w:rsid w:val="00AE6D13"/>
    <w:rsid w:val="00B829C4"/>
    <w:rsid w:val="00B95AB1"/>
    <w:rsid w:val="00BB489E"/>
    <w:rsid w:val="00BE4393"/>
    <w:rsid w:val="00C6285F"/>
    <w:rsid w:val="00C675DF"/>
    <w:rsid w:val="00CA23A3"/>
    <w:rsid w:val="00CD6984"/>
    <w:rsid w:val="00D35BA4"/>
    <w:rsid w:val="00D87D05"/>
    <w:rsid w:val="00DC163A"/>
    <w:rsid w:val="00DF0778"/>
    <w:rsid w:val="00E170D3"/>
    <w:rsid w:val="00E30E3B"/>
    <w:rsid w:val="00E4468A"/>
    <w:rsid w:val="00EC76A3"/>
    <w:rsid w:val="00F85B18"/>
    <w:rsid w:val="00FA0821"/>
    <w:rsid w:val="00FE78D1"/>
    <w:rsid w:val="00FF3335"/>
    <w:rsid w:val="015F964E"/>
    <w:rsid w:val="016AF022"/>
    <w:rsid w:val="0180CFBE"/>
    <w:rsid w:val="0202B90A"/>
    <w:rsid w:val="021FB894"/>
    <w:rsid w:val="03B17588"/>
    <w:rsid w:val="03E82C7B"/>
    <w:rsid w:val="042F2BE1"/>
    <w:rsid w:val="045D987B"/>
    <w:rsid w:val="0499301A"/>
    <w:rsid w:val="04CB9D70"/>
    <w:rsid w:val="0599E702"/>
    <w:rsid w:val="05A42647"/>
    <w:rsid w:val="05F055AC"/>
    <w:rsid w:val="0602091E"/>
    <w:rsid w:val="064B4269"/>
    <w:rsid w:val="068579CA"/>
    <w:rsid w:val="068F19CB"/>
    <w:rsid w:val="07649FD3"/>
    <w:rsid w:val="079C547F"/>
    <w:rsid w:val="07C3A1CF"/>
    <w:rsid w:val="0801D4DA"/>
    <w:rsid w:val="08068D32"/>
    <w:rsid w:val="0860D761"/>
    <w:rsid w:val="096E70B1"/>
    <w:rsid w:val="098182B8"/>
    <w:rsid w:val="09E443F7"/>
    <w:rsid w:val="0AD5DAA3"/>
    <w:rsid w:val="0B95651E"/>
    <w:rsid w:val="0C7CBFB8"/>
    <w:rsid w:val="0D9BB02C"/>
    <w:rsid w:val="0DA82573"/>
    <w:rsid w:val="0DE2BC4C"/>
    <w:rsid w:val="0E168CFC"/>
    <w:rsid w:val="0EA1FBDB"/>
    <w:rsid w:val="0F0B14F2"/>
    <w:rsid w:val="0F0F04C8"/>
    <w:rsid w:val="0F321DA5"/>
    <w:rsid w:val="0F722E30"/>
    <w:rsid w:val="0F84E938"/>
    <w:rsid w:val="105C20EA"/>
    <w:rsid w:val="11371883"/>
    <w:rsid w:val="11D69F3F"/>
    <w:rsid w:val="120AF43A"/>
    <w:rsid w:val="131F03D6"/>
    <w:rsid w:val="1331FEDF"/>
    <w:rsid w:val="14CBD9AD"/>
    <w:rsid w:val="1515CFEB"/>
    <w:rsid w:val="152EFD76"/>
    <w:rsid w:val="153F63B2"/>
    <w:rsid w:val="16209FD1"/>
    <w:rsid w:val="165257C3"/>
    <w:rsid w:val="1657C2BD"/>
    <w:rsid w:val="16B475C8"/>
    <w:rsid w:val="16F49941"/>
    <w:rsid w:val="1719544C"/>
    <w:rsid w:val="172F180D"/>
    <w:rsid w:val="173541E1"/>
    <w:rsid w:val="17EB0B00"/>
    <w:rsid w:val="18078173"/>
    <w:rsid w:val="195A54A4"/>
    <w:rsid w:val="19AEFFFD"/>
    <w:rsid w:val="19B32DD3"/>
    <w:rsid w:val="1A8C3649"/>
    <w:rsid w:val="1B1739A5"/>
    <w:rsid w:val="1B7DD433"/>
    <w:rsid w:val="1BE3CDF8"/>
    <w:rsid w:val="1C35322B"/>
    <w:rsid w:val="1C93E65E"/>
    <w:rsid w:val="1C9ABF66"/>
    <w:rsid w:val="1CC06A7A"/>
    <w:rsid w:val="1CE1A2C0"/>
    <w:rsid w:val="1D0326E7"/>
    <w:rsid w:val="1D449F7E"/>
    <w:rsid w:val="1DB3A3A5"/>
    <w:rsid w:val="1DFB1889"/>
    <w:rsid w:val="1E2073BA"/>
    <w:rsid w:val="1E40106C"/>
    <w:rsid w:val="1E5DE132"/>
    <w:rsid w:val="1EA6D0F6"/>
    <w:rsid w:val="1EFB83AE"/>
    <w:rsid w:val="1F309B6B"/>
    <w:rsid w:val="1F673D2B"/>
    <w:rsid w:val="1F95A771"/>
    <w:rsid w:val="1FDFBBA0"/>
    <w:rsid w:val="203AC7A9"/>
    <w:rsid w:val="20908A6B"/>
    <w:rsid w:val="2135D543"/>
    <w:rsid w:val="217DD009"/>
    <w:rsid w:val="2247C46B"/>
    <w:rsid w:val="2260C704"/>
    <w:rsid w:val="236131AD"/>
    <w:rsid w:val="24116BE2"/>
    <w:rsid w:val="2443A48F"/>
    <w:rsid w:val="253EB7D4"/>
    <w:rsid w:val="254E1A0E"/>
    <w:rsid w:val="2571F083"/>
    <w:rsid w:val="257DA836"/>
    <w:rsid w:val="26257235"/>
    <w:rsid w:val="267239ED"/>
    <w:rsid w:val="2673F028"/>
    <w:rsid w:val="269665DE"/>
    <w:rsid w:val="26B8AF1C"/>
    <w:rsid w:val="26CFB19C"/>
    <w:rsid w:val="271128B0"/>
    <w:rsid w:val="277009B5"/>
    <w:rsid w:val="27A35B6A"/>
    <w:rsid w:val="2832363F"/>
    <w:rsid w:val="2836F2E7"/>
    <w:rsid w:val="28ECBA9C"/>
    <w:rsid w:val="28EFC502"/>
    <w:rsid w:val="2964F91A"/>
    <w:rsid w:val="29BF67AC"/>
    <w:rsid w:val="29CE4573"/>
    <w:rsid w:val="29EE2A01"/>
    <w:rsid w:val="2BAA8589"/>
    <w:rsid w:val="2C0D4462"/>
    <w:rsid w:val="2D15CB2A"/>
    <w:rsid w:val="2D53D6D0"/>
    <w:rsid w:val="2D8D2070"/>
    <w:rsid w:val="2E01144E"/>
    <w:rsid w:val="2E5E88A1"/>
    <w:rsid w:val="2E7B61B5"/>
    <w:rsid w:val="2E7D88C6"/>
    <w:rsid w:val="2E8A7A81"/>
    <w:rsid w:val="2EF0968E"/>
    <w:rsid w:val="2F022CAA"/>
    <w:rsid w:val="2F14D91D"/>
    <w:rsid w:val="2F39DF76"/>
    <w:rsid w:val="2F67868F"/>
    <w:rsid w:val="2FAD6509"/>
    <w:rsid w:val="2FB5F58F"/>
    <w:rsid w:val="30B05837"/>
    <w:rsid w:val="30C29941"/>
    <w:rsid w:val="30D01CB3"/>
    <w:rsid w:val="30EEE230"/>
    <w:rsid w:val="31538FA4"/>
    <w:rsid w:val="3171FF17"/>
    <w:rsid w:val="31AB14B8"/>
    <w:rsid w:val="329D18E3"/>
    <w:rsid w:val="32A5D243"/>
    <w:rsid w:val="32C412B6"/>
    <w:rsid w:val="337716F1"/>
    <w:rsid w:val="3378CEDE"/>
    <w:rsid w:val="33C74F5B"/>
    <w:rsid w:val="343749F8"/>
    <w:rsid w:val="35256AED"/>
    <w:rsid w:val="35992046"/>
    <w:rsid w:val="35AA8D8A"/>
    <w:rsid w:val="35CBF017"/>
    <w:rsid w:val="36D586A8"/>
    <w:rsid w:val="37732DD2"/>
    <w:rsid w:val="37F43E46"/>
    <w:rsid w:val="38761848"/>
    <w:rsid w:val="38B85576"/>
    <w:rsid w:val="38CA9913"/>
    <w:rsid w:val="38D4BAD9"/>
    <w:rsid w:val="393C8798"/>
    <w:rsid w:val="39BAA623"/>
    <w:rsid w:val="3A3798B9"/>
    <w:rsid w:val="3A474CC5"/>
    <w:rsid w:val="3A885AA7"/>
    <w:rsid w:val="3ADEC992"/>
    <w:rsid w:val="3B010471"/>
    <w:rsid w:val="3B5B73CB"/>
    <w:rsid w:val="3BDBB751"/>
    <w:rsid w:val="3BFF41F3"/>
    <w:rsid w:val="3D4C87EE"/>
    <w:rsid w:val="3DDD8AAF"/>
    <w:rsid w:val="3E0A0911"/>
    <w:rsid w:val="3E4400F8"/>
    <w:rsid w:val="3EBA0405"/>
    <w:rsid w:val="3F0E0C51"/>
    <w:rsid w:val="3F78E876"/>
    <w:rsid w:val="3F7E31AD"/>
    <w:rsid w:val="3F807CA6"/>
    <w:rsid w:val="4139D405"/>
    <w:rsid w:val="41905AC3"/>
    <w:rsid w:val="4207486D"/>
    <w:rsid w:val="42C9D6E5"/>
    <w:rsid w:val="436BCDDB"/>
    <w:rsid w:val="43B99D7A"/>
    <w:rsid w:val="44E64A6A"/>
    <w:rsid w:val="4511A16D"/>
    <w:rsid w:val="4512F529"/>
    <w:rsid w:val="458A8906"/>
    <w:rsid w:val="4745C42F"/>
    <w:rsid w:val="474F2A91"/>
    <w:rsid w:val="47F46CF5"/>
    <w:rsid w:val="484E3A68"/>
    <w:rsid w:val="499B8DBF"/>
    <w:rsid w:val="4A4B3853"/>
    <w:rsid w:val="4C016502"/>
    <w:rsid w:val="4C0C399C"/>
    <w:rsid w:val="4C9ADEA7"/>
    <w:rsid w:val="4CB51862"/>
    <w:rsid w:val="4DA17E63"/>
    <w:rsid w:val="4DF085F4"/>
    <w:rsid w:val="4E4ADCCA"/>
    <w:rsid w:val="4E607CE1"/>
    <w:rsid w:val="4E9918CF"/>
    <w:rsid w:val="4EEE9302"/>
    <w:rsid w:val="4EF64B2B"/>
    <w:rsid w:val="4F593C6E"/>
    <w:rsid w:val="4F7F4EE5"/>
    <w:rsid w:val="4FB848C7"/>
    <w:rsid w:val="4FC276BC"/>
    <w:rsid w:val="50361277"/>
    <w:rsid w:val="507F6473"/>
    <w:rsid w:val="515FBB23"/>
    <w:rsid w:val="521FF185"/>
    <w:rsid w:val="5263DF99"/>
    <w:rsid w:val="5269662C"/>
    <w:rsid w:val="52E7E835"/>
    <w:rsid w:val="537246E2"/>
    <w:rsid w:val="53B62744"/>
    <w:rsid w:val="53C363F6"/>
    <w:rsid w:val="54265C45"/>
    <w:rsid w:val="54CEDA7F"/>
    <w:rsid w:val="5501B316"/>
    <w:rsid w:val="553497B4"/>
    <w:rsid w:val="556E8FF9"/>
    <w:rsid w:val="5599D529"/>
    <w:rsid w:val="55C0285A"/>
    <w:rsid w:val="566A8312"/>
    <w:rsid w:val="569D8377"/>
    <w:rsid w:val="578DCA61"/>
    <w:rsid w:val="578EBF84"/>
    <w:rsid w:val="57D0B9A4"/>
    <w:rsid w:val="59488AC5"/>
    <w:rsid w:val="59679845"/>
    <w:rsid w:val="5A0944F8"/>
    <w:rsid w:val="5A8CF3D9"/>
    <w:rsid w:val="5AE87A31"/>
    <w:rsid w:val="5B131D7B"/>
    <w:rsid w:val="5BDDD59E"/>
    <w:rsid w:val="5C33FA6A"/>
    <w:rsid w:val="5C460F25"/>
    <w:rsid w:val="5C592D63"/>
    <w:rsid w:val="5CAEEDDC"/>
    <w:rsid w:val="5D432846"/>
    <w:rsid w:val="5D515723"/>
    <w:rsid w:val="5D56F932"/>
    <w:rsid w:val="5D581FD2"/>
    <w:rsid w:val="5DF339D1"/>
    <w:rsid w:val="5E4ABE3D"/>
    <w:rsid w:val="5F8AF7D5"/>
    <w:rsid w:val="5FDEBA9F"/>
    <w:rsid w:val="60107A22"/>
    <w:rsid w:val="6072EDDD"/>
    <w:rsid w:val="6165D20B"/>
    <w:rsid w:val="61825EFF"/>
    <w:rsid w:val="622EF55C"/>
    <w:rsid w:val="625571BA"/>
    <w:rsid w:val="63648168"/>
    <w:rsid w:val="6445BC4F"/>
    <w:rsid w:val="64B9FFC1"/>
    <w:rsid w:val="65BA1DBD"/>
    <w:rsid w:val="65CB5767"/>
    <w:rsid w:val="660C2480"/>
    <w:rsid w:val="66118B0C"/>
    <w:rsid w:val="66197CF9"/>
    <w:rsid w:val="66C4C4A3"/>
    <w:rsid w:val="66F9BC4E"/>
    <w:rsid w:val="6709B2C4"/>
    <w:rsid w:val="68EB9B43"/>
    <w:rsid w:val="6908A986"/>
    <w:rsid w:val="6927A491"/>
    <w:rsid w:val="696AC35B"/>
    <w:rsid w:val="697AB4E6"/>
    <w:rsid w:val="6A20DEE4"/>
    <w:rsid w:val="6A2199DC"/>
    <w:rsid w:val="6AB63B59"/>
    <w:rsid w:val="6AC5E299"/>
    <w:rsid w:val="6B4A2A95"/>
    <w:rsid w:val="6B504454"/>
    <w:rsid w:val="6B9E109F"/>
    <w:rsid w:val="6BA66381"/>
    <w:rsid w:val="6C3873A3"/>
    <w:rsid w:val="6C8AA288"/>
    <w:rsid w:val="6C903A4D"/>
    <w:rsid w:val="6CBFA5B1"/>
    <w:rsid w:val="6CCAD118"/>
    <w:rsid w:val="6D04A21C"/>
    <w:rsid w:val="6D44E594"/>
    <w:rsid w:val="6E2D6680"/>
    <w:rsid w:val="6E58E6B1"/>
    <w:rsid w:val="6E789FD4"/>
    <w:rsid w:val="6E9750A0"/>
    <w:rsid w:val="6EBC3D30"/>
    <w:rsid w:val="6F72C48A"/>
    <w:rsid w:val="6F7A5EE6"/>
    <w:rsid w:val="6F9113EE"/>
    <w:rsid w:val="6FA34147"/>
    <w:rsid w:val="6FC40CFA"/>
    <w:rsid w:val="7035EB7A"/>
    <w:rsid w:val="710426D7"/>
    <w:rsid w:val="718B953C"/>
    <w:rsid w:val="71ABD8E6"/>
    <w:rsid w:val="71CEF162"/>
    <w:rsid w:val="729898D4"/>
    <w:rsid w:val="731387D3"/>
    <w:rsid w:val="731AB0CA"/>
    <w:rsid w:val="731D185F"/>
    <w:rsid w:val="732BAAA1"/>
    <w:rsid w:val="734F383E"/>
    <w:rsid w:val="735C0526"/>
    <w:rsid w:val="738AD7CC"/>
    <w:rsid w:val="73ED42F5"/>
    <w:rsid w:val="73F7830F"/>
    <w:rsid w:val="73FC449F"/>
    <w:rsid w:val="746CFC26"/>
    <w:rsid w:val="74D3E9AC"/>
    <w:rsid w:val="757BFBCC"/>
    <w:rsid w:val="75C9FA3E"/>
    <w:rsid w:val="761ECFBE"/>
    <w:rsid w:val="7638CAF3"/>
    <w:rsid w:val="7657801E"/>
    <w:rsid w:val="76EBB213"/>
    <w:rsid w:val="7721C7FE"/>
    <w:rsid w:val="7777E418"/>
    <w:rsid w:val="77E16CC9"/>
    <w:rsid w:val="78001851"/>
    <w:rsid w:val="78659ECC"/>
    <w:rsid w:val="78BB51A2"/>
    <w:rsid w:val="78D0B409"/>
    <w:rsid w:val="78D48C56"/>
    <w:rsid w:val="79C6E444"/>
    <w:rsid w:val="79E95656"/>
    <w:rsid w:val="7AB806FB"/>
    <w:rsid w:val="7AD71A74"/>
    <w:rsid w:val="7AEBF5D0"/>
    <w:rsid w:val="7B4C49C8"/>
    <w:rsid w:val="7B55808C"/>
    <w:rsid w:val="7BC02216"/>
    <w:rsid w:val="7CCE7801"/>
    <w:rsid w:val="7DD8769A"/>
    <w:rsid w:val="7E7F6B5C"/>
    <w:rsid w:val="7E98802C"/>
    <w:rsid w:val="7F524479"/>
    <w:rsid w:val="7F92E9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BD8CF"/>
  <w15:docId w15:val="{E3CAB696-EF4F-4E8A-8163-774731026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945A7B"/>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945A7B"/>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45A7B"/>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0" w:customStyle="1">
    <w:name w:val="Normal0"/>
    <w:basedOn w:val="Normal"/>
    <w:uiPriority w:val="1"/>
    <w:qFormat/>
    <w:rsid w:val="1BE3CDF8"/>
  </w:style>
  <w:style w:type="character" w:styleId="Hyperlink">
    <w:name w:val="Hyperlink"/>
    <w:basedOn w:val="DefaultParagraphFont"/>
    <w:uiPriority w:val="99"/>
    <w:unhideWhenUsed/>
    <w:rPr>
      <w:color w:val="0000FF" w:themeColor="hyperlink"/>
      <w:u w:val="single"/>
    </w:rPr>
  </w:style>
  <w:style w:type="paragraph" w:styleId="EPONormal" w:customStyle="1">
    <w:name w:val="EPO Normal"/>
    <w:qFormat/>
    <w:rsid w:val="00945A7B"/>
    <w:pPr>
      <w:spacing w:line="287" w:lineRule="auto"/>
      <w:jc w:val="both"/>
    </w:pPr>
  </w:style>
  <w:style w:type="paragraph" w:styleId="EPOSubheading11pt" w:customStyle="1">
    <w:name w:val="EPO Subheading 11pt"/>
    <w:next w:val="EPONormal"/>
    <w:qFormat/>
    <w:rsid w:val="00945A7B"/>
    <w:pPr>
      <w:keepNext/>
      <w:spacing w:before="220" w:after="220" w:line="287" w:lineRule="auto"/>
    </w:pPr>
    <w:rPr>
      <w:b/>
    </w:rPr>
  </w:style>
  <w:style w:type="paragraph" w:styleId="EPOFootnote" w:customStyle="1">
    <w:name w:val="EPO Footnote"/>
    <w:qFormat/>
    <w:rsid w:val="00945A7B"/>
    <w:pPr>
      <w:spacing w:line="287" w:lineRule="auto"/>
      <w:jc w:val="both"/>
    </w:pPr>
    <w:rPr>
      <w:sz w:val="16"/>
    </w:rPr>
  </w:style>
  <w:style w:type="paragraph" w:styleId="EPOFooter" w:customStyle="1">
    <w:name w:val="EPO Footer"/>
    <w:qFormat/>
    <w:rsid w:val="00945A7B"/>
    <w:pPr>
      <w:spacing w:line="287" w:lineRule="auto"/>
    </w:pPr>
    <w:rPr>
      <w:sz w:val="16"/>
    </w:rPr>
  </w:style>
  <w:style w:type="paragraph" w:styleId="EPOHeader" w:customStyle="1">
    <w:name w:val="EPO Header"/>
    <w:qFormat/>
    <w:rsid w:val="00945A7B"/>
    <w:pPr>
      <w:spacing w:line="287" w:lineRule="auto"/>
    </w:pPr>
    <w:rPr>
      <w:sz w:val="16"/>
    </w:rPr>
  </w:style>
  <w:style w:type="paragraph" w:styleId="EPOSubheading14pt" w:customStyle="1">
    <w:name w:val="EPO Subheading 14pt"/>
    <w:next w:val="EPONormal"/>
    <w:qFormat/>
    <w:rsid w:val="00945A7B"/>
    <w:pPr>
      <w:keepNext/>
      <w:spacing w:before="220" w:after="220" w:line="287" w:lineRule="auto"/>
    </w:pPr>
    <w:rPr>
      <w:b/>
      <w:sz w:val="28"/>
    </w:rPr>
  </w:style>
  <w:style w:type="paragraph" w:styleId="EPOAnnex" w:customStyle="1">
    <w:name w:val="EPO Annex"/>
    <w:next w:val="EPONormal"/>
    <w:qFormat/>
    <w:rsid w:val="00945A7B"/>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945A7B"/>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945A7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45A7B"/>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945A7B"/>
    <w:pPr>
      <w:spacing w:after="220" w:line="287" w:lineRule="auto"/>
    </w:pPr>
    <w:rPr>
      <w:b/>
      <w:sz w:val="50"/>
    </w:rPr>
  </w:style>
  <w:style w:type="paragraph" w:styleId="EPOTitle2-18pt" w:customStyle="1">
    <w:name w:val="EPO Title 2 - 18pt"/>
    <w:next w:val="EPONormal"/>
    <w:qFormat/>
    <w:rsid w:val="00945A7B"/>
    <w:pPr>
      <w:spacing w:after="220" w:line="287" w:lineRule="auto"/>
    </w:pPr>
    <w:rPr>
      <w:b/>
      <w:sz w:val="36"/>
    </w:rPr>
  </w:style>
  <w:style w:type="paragraph" w:styleId="EPOHeading1" w:customStyle="1">
    <w:name w:val="EPO Heading 1"/>
    <w:next w:val="EPONormal"/>
    <w:qFormat/>
    <w:rsid w:val="00945A7B"/>
    <w:pPr>
      <w:keepNext/>
      <w:numPr>
        <w:numId w:val="6"/>
      </w:numPr>
      <w:spacing w:before="220" w:after="220" w:line="287" w:lineRule="auto"/>
      <w:outlineLvl w:val="0"/>
    </w:pPr>
    <w:rPr>
      <w:b/>
      <w:sz w:val="28"/>
    </w:rPr>
  </w:style>
  <w:style w:type="paragraph" w:styleId="EPOHeading2" w:customStyle="1">
    <w:name w:val="EPO Heading 2"/>
    <w:next w:val="EPONormal"/>
    <w:qFormat/>
    <w:rsid w:val="00945A7B"/>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945A7B"/>
    <w:pPr>
      <w:keepNext/>
      <w:numPr>
        <w:ilvl w:val="2"/>
        <w:numId w:val="6"/>
      </w:numPr>
      <w:spacing w:before="220" w:after="220" w:line="287" w:lineRule="auto"/>
      <w:outlineLvl w:val="2"/>
    </w:pPr>
    <w:rPr>
      <w:b/>
    </w:rPr>
  </w:style>
  <w:style w:type="paragraph" w:styleId="EPOHeading4" w:customStyle="1">
    <w:name w:val="EPO Heading 4"/>
    <w:next w:val="EPONormal"/>
    <w:qFormat/>
    <w:rsid w:val="00945A7B"/>
    <w:pPr>
      <w:keepNext/>
      <w:numPr>
        <w:ilvl w:val="3"/>
        <w:numId w:val="6"/>
      </w:numPr>
      <w:spacing w:before="220" w:after="220" w:line="287" w:lineRule="auto"/>
      <w:outlineLvl w:val="3"/>
    </w:pPr>
    <w:rPr>
      <w:b/>
    </w:rPr>
  </w:style>
  <w:style w:type="paragraph" w:styleId="EPOBullet1stlevel" w:customStyle="1">
    <w:name w:val="EPO Bullet 1st level"/>
    <w:qFormat/>
    <w:rsid w:val="00945A7B"/>
    <w:pPr>
      <w:numPr>
        <w:numId w:val="7"/>
      </w:numPr>
      <w:tabs>
        <w:tab w:val="clear" w:pos="1134"/>
      </w:tabs>
      <w:spacing w:line="287" w:lineRule="auto"/>
      <w:ind w:left="397" w:hanging="397"/>
      <w:jc w:val="both"/>
    </w:pPr>
  </w:style>
  <w:style w:type="paragraph" w:styleId="EPOBullet2ndlevel" w:customStyle="1">
    <w:name w:val="EPO Bullet 2nd level"/>
    <w:qFormat/>
    <w:rsid w:val="00945A7B"/>
    <w:pPr>
      <w:numPr>
        <w:numId w:val="8"/>
      </w:numPr>
      <w:tabs>
        <w:tab w:val="clear" w:pos="1701"/>
      </w:tabs>
      <w:spacing w:line="287" w:lineRule="auto"/>
      <w:ind w:left="794" w:hanging="397"/>
      <w:jc w:val="both"/>
    </w:pPr>
  </w:style>
  <w:style w:type="paragraph" w:styleId="EPOList-numbers" w:customStyle="1">
    <w:name w:val="EPO List - numbers"/>
    <w:qFormat/>
    <w:rsid w:val="00945A7B"/>
    <w:pPr>
      <w:numPr>
        <w:numId w:val="9"/>
      </w:numPr>
      <w:tabs>
        <w:tab w:val="left" w:pos="397"/>
      </w:tabs>
      <w:spacing w:line="287" w:lineRule="auto"/>
      <w:jc w:val="both"/>
    </w:pPr>
  </w:style>
  <w:style w:type="paragraph" w:styleId="EPOList-letters" w:customStyle="1">
    <w:name w:val="EPO List - letters"/>
    <w:qFormat/>
    <w:rsid w:val="00945A7B"/>
    <w:pPr>
      <w:numPr>
        <w:numId w:val="10"/>
      </w:numPr>
      <w:tabs>
        <w:tab w:val="left" w:pos="397"/>
      </w:tabs>
      <w:spacing w:line="287" w:lineRule="auto"/>
      <w:jc w:val="both"/>
    </w:pPr>
  </w:style>
  <w:style w:type="paragraph" w:styleId="Revision">
    <w:name w:val="Revision"/>
    <w:hidden/>
    <w:uiPriority w:val="99"/>
    <w:semiHidden/>
    <w:rsid w:val="00945A7B"/>
    <w:pPr>
      <w:spacing w:line="240" w:lineRule="auto"/>
    </w:pPr>
  </w:style>
  <w:style w:type="paragraph" w:styleId="CommentSubject">
    <w:name w:val="annotation subject"/>
    <w:basedOn w:val="CommentText"/>
    <w:next w:val="CommentText"/>
    <w:link w:val="CommentSubjectChar"/>
    <w:uiPriority w:val="99"/>
    <w:semiHidden/>
    <w:unhideWhenUsed/>
    <w:rsid w:val="00A77C45"/>
    <w:rPr>
      <w:b/>
      <w:bCs/>
    </w:rPr>
  </w:style>
  <w:style w:type="character" w:styleId="CommentSubjectChar" w:customStyle="1">
    <w:name w:val="Comment Subject Char"/>
    <w:basedOn w:val="CommentTextChar"/>
    <w:link w:val="CommentSubject"/>
    <w:uiPriority w:val="99"/>
    <w:semiHidden/>
    <w:rsid w:val="00A77C45"/>
    <w:rPr>
      <w:b/>
      <w:bCs/>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customXml" Target="../customXml/item5.xml" Id="rId5" /><Relationship Type="http://schemas.openxmlformats.org/officeDocument/2006/relationships/hyperlink" Target="mailto:press@epo.org" TargetMode="Externa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theme" Target="theme/theme1.xml" Id="rId14" /><Relationship Type="http://schemas.openxmlformats.org/officeDocument/2006/relationships/hyperlink" Target="https://www.epo.org/fr/news-events/european-inventor-award/streaming?mtm_campaign=EIA2024&amp;mtm_keyword=pressrelease&amp;mtm_medium=press" TargetMode="External" Id="Rf38d64748380412f" /><Relationship Type="http://schemas.openxmlformats.org/officeDocument/2006/relationships/hyperlink" Target="https://www.epo.org/fr/news-events/european-inventor-award/streaming?mtm_campaign=EIA2024&amp;mtm_keyword=pressrelease&amp;mtm_medium=press" TargetMode="External" Id="R08cd2131ac964966" /><Relationship Type="http://schemas.openxmlformats.org/officeDocument/2006/relationships/hyperlink" Target="https://www.epo.org/en/news-events/european-inventor-award/categories-and-prizes" TargetMode="External" Id="Rbcd75269ba8c4342" /><Relationship Type="http://schemas.openxmlformats.org/officeDocument/2006/relationships/hyperlink" Target="https://www.epo.org/fr/news-events/european-inventor-award?mtm_campaign=EIA2024&amp;mtm_keyword=pressrelease&amp;mtm_medium=press" TargetMode="External" Id="R7b0ca556d3cb4210" /><Relationship Type="http://schemas.openxmlformats.org/officeDocument/2006/relationships/hyperlink" Target="https://www.epo.org/fr/?mtm_campaign=EIA2024&amp;mtm_keyword=pressrelease&amp;mtm_medium=press" TargetMode="External" Id="Rcf052c1d560c4779" /><Relationship Type="http://schemas.openxmlformats.org/officeDocument/2006/relationships/header" Target="header.xml" Id="Rff7893b10add4478" /><Relationship Type="http://schemas.openxmlformats.org/officeDocument/2006/relationships/footer" Target="footer.xml" Id="Re4bc2ef48abc4e26" /><Relationship Type="http://schemas.openxmlformats.org/officeDocument/2006/relationships/hyperlink" Target="https://www.epo.org/fr/news-events/european-inventor-award/categories-and-prizes" TargetMode="External" Id="R7b548a90abe24e1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b5efd8d5f8f842d1" /><Relationship Type="http://schemas.openxmlformats.org/officeDocument/2006/relationships/image" Target="/media/image2.png" Id="R123ceef0ecdd47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TAS0-850928080-102159</_dlc_DocId>
    <_dlc_DocIdUrl xmlns="f2e99cb4-f4f9-415e-b3d9-1292be195fdc">
      <Url>https://byblos2019.internal.epo.org/sites/TAS/_layouts/15/DocIdRedir.aspx?ID=TAS0-850928080-102159</Url>
      <Description>TAS0-850928080-102159</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1D8B2F-F913-4D20-9891-481FC46883B6}">
  <ds:schemaRefs>
    <ds:schemaRef ds:uri="http://schemas.microsoft.com/sharepoint/events"/>
  </ds:schemaRefs>
</ds:datastoreItem>
</file>

<file path=customXml/itemProps2.xml><?xml version="1.0" encoding="utf-8"?>
<ds:datastoreItem xmlns:ds="http://schemas.openxmlformats.org/officeDocument/2006/customXml" ds:itemID="{84F2C0CA-1AC0-446B-BB2F-A81C04B429A1}">
  <ds:schemaRefs>
    <ds:schemaRef ds:uri="Microsoft.SharePoint.Taxonomy.ContentTypeSync"/>
  </ds:schemaRefs>
</ds:datastoreItem>
</file>

<file path=customXml/itemProps3.xml><?xml version="1.0" encoding="utf-8"?>
<ds:datastoreItem xmlns:ds="http://schemas.openxmlformats.org/officeDocument/2006/customXml" ds:itemID="{B3C153C0-6232-4DE7-BC35-ED37986E4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33594-B20F-4A1F-B4FC-FBB557040CEB}">
  <ds:schemaRefs>
    <ds:schemaRef ds:uri="http://purl.org/dc/elements/1.1/"/>
    <ds:schemaRef ds:uri="http://schemas.microsoft.com/office/2006/metadata/propertie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customXml/itemProps5.xml><?xml version="1.0" encoding="utf-8"?>
<ds:datastoreItem xmlns:ds="http://schemas.openxmlformats.org/officeDocument/2006/customXml" ds:itemID="{0D3311DD-400E-473A-B2B5-003541AA464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Sophie Rasbash (External)</lastModifiedBy>
  <revision>52</revision>
  <dcterms:created xsi:type="dcterms:W3CDTF">2024-04-10T10:31:00.0000000Z</dcterms:created>
  <dcterms:modified xsi:type="dcterms:W3CDTF">2024-05-29T08:35:10.3090725Z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286be449-51a1-40bf-9cd3-d3c0156bd38e</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