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20BD2" w:rsidRDefault="00221B24" w14:paraId="13BFBE10" w14:textId="77777777">
      <w:pPr>
        <w:spacing w:before="240" w:after="240" w:line="360" w:lineRule="auto"/>
        <w:jc w:val="right"/>
        <w:rPr>
          <w:b/>
          <w:sz w:val="28"/>
          <w:szCs w:val="28"/>
        </w:rPr>
      </w:pPr>
      <w:r>
        <w:rPr>
          <w:b/>
          <w:sz w:val="28"/>
        </w:rPr>
        <w:t xml:space="preserve">COMMUNIQUÉ DE PRESSE </w:t>
      </w:r>
    </w:p>
    <w:p w:rsidR="00420BD2" w:rsidP="4080770B" w:rsidRDefault="00221B24" w14:paraId="13BFBE11" w14:textId="3703F4E2">
      <w:pPr>
        <w:jc w:val="center"/>
        <w:rPr>
          <w:b/>
          <w:bCs/>
          <w:sz w:val="28"/>
          <w:szCs w:val="28"/>
        </w:rPr>
      </w:pPr>
      <w:r>
        <w:rPr>
          <w:b/>
          <w:sz w:val="28"/>
        </w:rPr>
        <w:t>Kit de dépistage portable basé sur l'IA pour identifier les infections bactériennes : une scientifique néerlandaise sélectionné</w:t>
      </w:r>
      <w:r w:rsidR="001E7575">
        <w:rPr>
          <w:b/>
          <w:sz w:val="28"/>
        </w:rPr>
        <w:t>e</w:t>
      </w:r>
      <w:r>
        <w:rPr>
          <w:b/>
          <w:sz w:val="28"/>
        </w:rPr>
        <w:t xml:space="preserve"> parmi les finalistes du Young Inventors Prize 2024</w:t>
      </w:r>
    </w:p>
    <w:p w:rsidR="00420BD2" w:rsidRDefault="00420BD2" w14:paraId="13BFBE12" w14:textId="77777777">
      <w:pPr>
        <w:jc w:val="both"/>
        <w:rPr>
          <w:b/>
          <w:sz w:val="28"/>
          <w:szCs w:val="28"/>
        </w:rPr>
      </w:pPr>
    </w:p>
    <w:p w:rsidR="00420BD2" w:rsidP="4080770B" w:rsidRDefault="00221B24" w14:paraId="13BFBE13" w14:textId="77777777">
      <w:pPr>
        <w:numPr>
          <w:ilvl w:val="0"/>
          <w:numId w:val="1"/>
        </w:numPr>
        <w:jc w:val="both"/>
        <w:rPr>
          <w:b/>
          <w:bCs/>
        </w:rPr>
      </w:pPr>
      <w:r>
        <w:rPr>
          <w:b/>
        </w:rPr>
        <w:t>Rochelle Niemeijer, scientifique néerlandaise de 29 ans, a développé un instrument rapide, abordable et basé sur l'IA pour dépister les infections bactériennes et prendre de meilleures décisions en matière de traitement</w:t>
      </w:r>
    </w:p>
    <w:p w:rsidR="00420BD2" w:rsidP="4080770B" w:rsidRDefault="31117627" w14:paraId="304B9853" w14:textId="5264247D">
      <w:pPr>
        <w:numPr>
          <w:ilvl w:val="0"/>
          <w:numId w:val="1"/>
        </w:numPr>
        <w:jc w:val="both"/>
        <w:rPr>
          <w:b/>
          <w:bCs/>
        </w:rPr>
      </w:pPr>
      <w:r>
        <w:rPr>
          <w:b/>
        </w:rPr>
        <w:t xml:space="preserve">Sa société émergente, Nostics, se concentre sur les types d'infections les plus courants, notamment les infections des voies urinaires, fongiques et sanguines </w:t>
      </w:r>
    </w:p>
    <w:p w:rsidR="00420BD2" w:rsidP="2529EA67" w:rsidRDefault="00420BD2" w14:paraId="13BFBE16" w14:textId="3D929D0D">
      <w:pPr>
        <w:numPr>
          <w:ilvl w:val="0"/>
          <w:numId w:val="1"/>
        </w:numPr>
        <w:jc w:val="both"/>
        <w:rPr>
          <w:b w:val="1"/>
          <w:bCs w:val="1"/>
          <w:highlight w:val="green"/>
        </w:rPr>
      </w:pPr>
      <w:r w:rsidRPr="2529EA67" w:rsidR="00221B24">
        <w:rPr>
          <w:b w:val="1"/>
          <w:bCs w:val="1"/>
        </w:rPr>
        <w:t xml:space="preserve">Le 9 juillet prochain, l'inventrice néerlandaise concourra pour le Young </w:t>
      </w:r>
      <w:r w:rsidRPr="2529EA67" w:rsidR="00221B24">
        <w:rPr>
          <w:b w:val="1"/>
          <w:bCs w:val="1"/>
        </w:rPr>
        <w:t>Inventors</w:t>
      </w:r>
      <w:r w:rsidRPr="2529EA67" w:rsidR="00221B24">
        <w:rPr>
          <w:b w:val="1"/>
          <w:bCs w:val="1"/>
        </w:rPr>
        <w:t xml:space="preserve"> </w:t>
      </w:r>
      <w:r w:rsidRPr="2529EA67" w:rsidR="00221B24">
        <w:rPr>
          <w:b w:val="1"/>
          <w:bCs w:val="1"/>
        </w:rPr>
        <w:t>Prize</w:t>
      </w:r>
      <w:r w:rsidRPr="2529EA67" w:rsidR="00221B24">
        <w:rPr>
          <w:b w:val="1"/>
          <w:bCs w:val="1"/>
        </w:rPr>
        <w:t xml:space="preserve"> face </w:t>
      </w:r>
      <w:r w:rsidRPr="2529EA67" w:rsidR="4403B93F">
        <w:rPr>
          <w:rFonts w:ascii="Arial" w:hAnsi="Arial" w:eastAsia="Arial" w:cs="Arial"/>
          <w:b w:val="1"/>
          <w:bCs w:val="1"/>
          <w:i w:val="0"/>
          <w:iCs w:val="0"/>
          <w:caps w:val="0"/>
          <w:smallCaps w:val="0"/>
          <w:strike w:val="0"/>
          <w:dstrike w:val="0"/>
          <w:noProof w:val="0"/>
          <w:color w:val="000000" w:themeColor="text1" w:themeTint="FF" w:themeShade="FF"/>
          <w:sz w:val="22"/>
          <w:szCs w:val="22"/>
          <w:u w:val="none"/>
          <w:lang w:val="fr-FR"/>
        </w:rPr>
        <w:t>à une équipe tunisienne</w:t>
      </w:r>
      <w:r w:rsidRPr="2529EA67" w:rsidR="00221B24">
        <w:rPr>
          <w:b w:val="1"/>
          <w:bCs w:val="1"/>
        </w:rPr>
        <w:t xml:space="preserve"> et une équipe</w:t>
      </w:r>
      <w:r w:rsidRPr="2529EA67" w:rsidR="30AE072D">
        <w:rPr>
          <w:b w:val="1"/>
          <w:bCs w:val="1"/>
        </w:rPr>
        <w:t xml:space="preserve"> ukrainienne</w:t>
      </w:r>
    </w:p>
    <w:p w:rsidR="2529EA67" w:rsidP="2529EA67" w:rsidRDefault="2529EA67" w14:paraId="59B7BD3A" w14:textId="0058D516">
      <w:pPr>
        <w:pStyle w:val="Normal"/>
        <w:ind w:left="0"/>
        <w:jc w:val="both"/>
        <w:rPr>
          <w:b w:val="1"/>
          <w:bCs w:val="1"/>
          <w:highlight w:val="green"/>
        </w:rPr>
      </w:pPr>
    </w:p>
    <w:p w:rsidR="00221B24" w:rsidP="4080770B" w:rsidRDefault="00221B24" w14:paraId="13BFBE17" w14:textId="0AB66DD0">
      <w:pPr>
        <w:spacing w:line="240" w:lineRule="auto"/>
        <w:jc w:val="both"/>
      </w:pPr>
      <w:r w:rsidRPr="5438A92D" w:rsidR="00221B24">
        <w:rPr>
          <w:b w:val="1"/>
          <w:bCs w:val="1"/>
        </w:rPr>
        <w:t>Munich, le 4 jui</w:t>
      </w:r>
      <w:r w:rsidRPr="5438A92D" w:rsidR="5DAE289D">
        <w:rPr>
          <w:b w:val="1"/>
          <w:bCs w:val="1"/>
        </w:rPr>
        <w:t>n</w:t>
      </w:r>
      <w:r w:rsidRPr="5438A92D" w:rsidR="00221B24">
        <w:rPr>
          <w:b w:val="1"/>
          <w:bCs w:val="1"/>
        </w:rPr>
        <w:t xml:space="preserve"> 2024 </w:t>
      </w:r>
      <w:r w:rsidR="00221B24">
        <w:rPr/>
        <w:t xml:space="preserve">– Selon une étude publiée dans </w:t>
      </w:r>
      <w:hyperlink r:id="R29a3a8b21f954904">
        <w:r w:rsidRPr="5438A92D" w:rsidR="00221B24">
          <w:rPr>
            <w:rStyle w:val="Hyperlink"/>
          </w:rPr>
          <w:t>The Lancet</w:t>
        </w:r>
      </w:hyperlink>
      <w:r w:rsidR="00221B24">
        <w:rPr/>
        <w:t>, en 2019, un décès sur huit dans le monde a été causé par des infections bactériennes courantes, qui constituent la deuxième cause de décès dans le monde. En raison de diagnostics lents ou inefficaces, de nombreux traitements sont effectués à partir d'informations limitées concernant la pathologie, conduisant à l'utilisation abusive des antibiotiques : une préoccupation majeure que la scientifique néerlandaise Rochelle Niemeijer cherche à traiter</w:t>
      </w:r>
      <w:r w:rsidRPr="5438A92D" w:rsidR="00221B24">
        <w:rPr>
          <w:b w:val="1"/>
          <w:bCs w:val="1"/>
        </w:rPr>
        <w:t>.</w:t>
      </w:r>
      <w:r w:rsidR="00221B24">
        <w:rPr/>
        <w:t xml:space="preserve"> Elle a développé un kit de dépistage en centres de soins qui utilise l'intelligence artificielle (IA) pour identifier rapidement les bactéries responsables d'infections telles que les infections urinaires, permettant ainsi de prendre de meilleures décisions en matière de traitement. Mme Niemeijer</w:t>
      </w:r>
      <w:r w:rsidRPr="5438A92D" w:rsidR="00221B24">
        <w:rPr>
          <w:color w:val="000000" w:themeColor="text1" w:themeTint="FF" w:themeShade="FF"/>
        </w:rPr>
        <w:t xml:space="preserve"> fait partie des finalistes du Young Inventors</w:t>
      </w:r>
      <w:r w:rsidR="00221B24">
        <w:rPr/>
        <w:t xml:space="preserve"> Prize, décerné dans le cadre du Prix de l'inventeur européen 2024, afin de récompenser son travail prometteur en faveur d'examens plus accessibles contribuant à la réalisation de l'un des objectifs de développement durable (ODD) des Nations Unies. Elle a été sélectionnée parmi plus de 550 candidates et candidats pour l'édition de cette année.</w:t>
      </w:r>
    </w:p>
    <w:p w:rsidR="00420BD2" w:rsidRDefault="00221B24" w14:paraId="13BFBE18" w14:textId="00720D05">
      <w:pPr>
        <w:spacing w:before="240" w:after="240" w:line="240" w:lineRule="auto"/>
        <w:jc w:val="both"/>
      </w:pPr>
      <w:r>
        <w:rPr>
          <w:b/>
          <w:color w:val="BE0F05"/>
        </w:rPr>
        <w:t>Tirer profit</w:t>
      </w:r>
      <w:r w:rsidR="001E7575">
        <w:rPr>
          <w:b/>
          <w:color w:val="BE0F05"/>
        </w:rPr>
        <w:t xml:space="preserve"> de</w:t>
      </w:r>
      <w:r>
        <w:rPr>
          <w:b/>
          <w:color w:val="BE0F05"/>
        </w:rPr>
        <w:t xml:space="preserve"> l'IA pour de meilleurs soins de santé</w:t>
      </w:r>
    </w:p>
    <w:p w:rsidR="00420BD2" w:rsidP="4080770B" w:rsidRDefault="15AB49E5" w14:paraId="13BFBE19" w14:textId="0C529864">
      <w:pPr>
        <w:spacing w:before="240" w:after="240" w:line="240" w:lineRule="auto"/>
        <w:jc w:val="both"/>
      </w:pPr>
      <w:r w:rsidR="15AB49E5">
        <w:rPr/>
        <w:t xml:space="preserve">La résistance aux antimicrobiens (RAM) est l'une des principales menaces mondiales pour la santé publique et le développement. L'Organisation mondiale de la Santé (OMS) </w:t>
      </w:r>
      <w:r w:rsidR="23899308">
        <w:rPr/>
        <w:t>indique</w:t>
      </w:r>
      <w:r w:rsidR="15AB49E5">
        <w:rPr/>
        <w:t xml:space="preserve"> que la RAM était directement responsable de 1,27 million de décès dans le monde en 2019. Les méthodes de dépistage inadaptées, en particulier dans les zones rurales et défavorisées qui manquent de ressources et de financement, aggravent la situation, conduisant à des erreurs de diagnostic, à des traitements inutiles et à une pression sur les soins de santé.</w:t>
      </w:r>
      <w:r w:rsidRPr="4C85AA6A" w:rsidR="15AB49E5">
        <w:rPr>
          <w:b w:val="1"/>
          <w:bCs w:val="1"/>
        </w:rPr>
        <w:t xml:space="preserve"> </w:t>
      </w:r>
      <w:r w:rsidR="15AB49E5">
        <w:rPr/>
        <w:t>La société émergente de Mme </w:t>
      </w:r>
      <w:r w:rsidR="15AB49E5">
        <w:rPr/>
        <w:t>Niemeijer</w:t>
      </w:r>
      <w:r w:rsidR="15AB49E5">
        <w:rPr/>
        <w:t xml:space="preserve">, </w:t>
      </w:r>
      <w:r w:rsidR="15AB49E5">
        <w:rPr/>
        <w:t>Nostics</w:t>
      </w:r>
      <w:r w:rsidR="15AB49E5">
        <w:rPr/>
        <w:t>, vise à fournir aux médecins des instruments de diagnostic rapides pour permettre un traitement plus efficace, en commençant par l'un des types d'infection les plus courants dans le monde, les infections urinaires.</w:t>
      </w:r>
    </w:p>
    <w:p w:rsidR="3FE843AB" w:rsidP="7A8CA244" w:rsidRDefault="00221B24" w14:paraId="03089DF5" w14:textId="0691AA16">
      <w:pPr>
        <w:spacing w:before="240" w:after="240" w:line="240" w:lineRule="auto"/>
        <w:jc w:val="both"/>
        <w:rPr>
          <w:b/>
          <w:bCs/>
        </w:rPr>
      </w:pPr>
      <w:r>
        <w:t xml:space="preserve">L'instrument de Nostics permet une détection et une identification rapides des bactéries. La technologie combine un spectromètre portable et un logiciel numérique alimenté par l'intelligence artificielle, avec une seule cartouche jetable qui facilite le traitement et la mesure des échantillons. L'invention utilise la spectroscopie Raman améliorée par la surface (SERS) pour analyser les échantillons, qui a fait l'objet d'expérimentations dans la recherche universitaire mais qui n'a jamais été employée dans des produits tangibles du secteur de la </w:t>
      </w:r>
      <w:r>
        <w:lastRenderedPageBreak/>
        <w:t>santé. Les interactions du faisceau laser avec l'échantillon génèrent des motifs spectraux même lorsque peu d'agents pathogènes sont présents. Une équipe de spécialistes de l'IA développe des algorithmes capables de déchiffrer ces motifs spectraux, permettant ainsi l'identification et la classification précises de divers agents pathogènes.</w:t>
      </w:r>
      <w:r>
        <w:rPr>
          <w:b/>
        </w:rPr>
        <w:t xml:space="preserve"> </w:t>
      </w:r>
    </w:p>
    <w:p w:rsidR="3FE843AB" w:rsidP="5737AD29" w:rsidRDefault="3FE843AB" w14:paraId="13BFBE1B" w14:textId="59A0BCDB">
      <w:pPr>
        <w:spacing w:before="240" w:after="240" w:line="240" w:lineRule="auto"/>
        <w:jc w:val="both"/>
      </w:pPr>
      <w:r>
        <w:t xml:space="preserve">La technologie peut identifier des espèces bactériennes dans un délai de 15 minutes, sans besoin d'utilisateurs expérimentés ou d'une infrastructure de laboratoire coûteuse, ce qui constitue une solution plus rapide et plus pratique que l'envoi de l'échantillon à un laboratoire. </w:t>
      </w:r>
      <w:r>
        <w:rPr>
          <w:b/>
        </w:rPr>
        <w:t>Cette technologie est polyvalente et peut être adaptée à différentes maladies infectieuses,</w:t>
      </w:r>
      <w:r>
        <w:t xml:space="preserve"> car elle est idéale pour effectuer le dépistage et le profilage dans des endroits avec des ressources limitées, sur le terrain ou lors d'examens en centres de soins, sans besoin d'utilisateurs expérimentés. </w:t>
      </w:r>
    </w:p>
    <w:p w:rsidR="148CA576" w:rsidP="5737AD29" w:rsidRDefault="148CA576" w14:paraId="13BFBE1C" w14:textId="3845B2FC">
      <w:pPr>
        <w:pBdr>
          <w:top w:val="nil"/>
          <w:left w:val="nil"/>
          <w:bottom w:val="nil"/>
          <w:right w:val="nil"/>
          <w:between w:val="nil"/>
        </w:pBdr>
        <w:spacing w:before="240" w:after="240" w:line="240" w:lineRule="auto"/>
        <w:jc w:val="both"/>
      </w:pPr>
      <w:r>
        <w:t>Nostics a levé 10 millions d'EUR à ce jour pour fabriquer des instruments de diagnostic rapides, abordables et basés sur les données sous la forme d'une plateforme portable pour les médecins. Le processus repose sur une combinaison de photonique, de nanotechnologie et d'IA.</w:t>
      </w:r>
    </w:p>
    <w:p w:rsidR="00420BD2" w:rsidP="4080770B" w:rsidRDefault="00221B24" w14:paraId="13BFBE1D" w14:textId="77777777">
      <w:pPr>
        <w:pBdr>
          <w:top w:val="nil"/>
          <w:left w:val="nil"/>
          <w:bottom w:val="nil"/>
          <w:right w:val="nil"/>
          <w:between w:val="nil"/>
        </w:pBdr>
        <w:spacing w:before="240" w:after="240" w:line="240" w:lineRule="auto"/>
        <w:jc w:val="both"/>
      </w:pPr>
      <w:r>
        <w:rPr>
          <w:b/>
          <w:color w:val="C04F4D"/>
        </w:rPr>
        <w:t>Vocation à aider son prochain grâce à la nanobiologie</w:t>
      </w:r>
    </w:p>
    <w:p w:rsidR="00420BD2" w:rsidP="456237F2" w:rsidRDefault="00221B24" w14:paraId="13BFBE1E" w14:textId="4BECC768">
      <w:pPr>
        <w:pStyle w:val="Normal"/>
        <w:spacing w:line="240" w:lineRule="auto"/>
        <w:jc w:val="both"/>
        <w:rPr>
          <w:i w:val="1"/>
          <w:iCs w:val="1"/>
        </w:rPr>
      </w:pPr>
      <w:r w:rsidR="00221B24">
        <w:rPr/>
        <w:t>La volonté de Mme </w:t>
      </w:r>
      <w:r w:rsidR="00221B24">
        <w:rPr/>
        <w:t>Niemeijer</w:t>
      </w:r>
      <w:r w:rsidR="00221B24">
        <w:rPr/>
        <w:t xml:space="preserve"> de venir en aide aux autres est apparue lors de son travail de bénévole dans un hôpital de </w:t>
      </w:r>
      <w:r w:rsidR="00221B24">
        <w:rPr/>
        <w:t>Samraong</w:t>
      </w:r>
      <w:r w:rsidR="00221B24">
        <w:rPr/>
        <w:t xml:space="preserve">, au Cambodge, en 2012, où elle a fait face à d'importantes pénuries de ressources et a constaté de ses propres yeux le manque d'instruments de diagnostic accessibles. Elle a ensuite poursuivi ses études dans le domaine de la nanobiologie à l'Université de technologie de Delft, où elle a obtenu une licence et une maîtrise.  Au mois d'avril 2020, elle a co-fondé </w:t>
      </w:r>
      <w:r w:rsidR="00221B24">
        <w:rPr/>
        <w:t>Nostics</w:t>
      </w:r>
      <w:r w:rsidR="00221B24">
        <w:rPr/>
        <w:t xml:space="preserve"> et en est devenue directrice scientifique, tirant parti de la nanotechnologie, de la photonique et de l'apprentissage automatique pour innover en matière de diagnostic.</w:t>
      </w:r>
      <w:r w:rsidRPr="456237F2" w:rsidR="00221B24">
        <w:rPr>
          <w:b w:val="1"/>
          <w:bCs w:val="1"/>
        </w:rPr>
        <w:t xml:space="preserve"> </w:t>
      </w:r>
      <w:r w:rsidR="00221B24">
        <w:rPr/>
        <w:t>Mme </w:t>
      </w:r>
      <w:r w:rsidR="00221B24">
        <w:rPr/>
        <w:t>Niemeijer</w:t>
      </w:r>
      <w:r w:rsidR="00221B24">
        <w:rPr/>
        <w:t xml:space="preserve"> explique : </w:t>
      </w:r>
      <w:r w:rsidRPr="456237F2" w:rsidR="4D8B61C8">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fr-FR"/>
        </w:rPr>
        <w:t xml:space="preserve">« </w:t>
      </w:r>
      <w:r w:rsidRPr="456237F2" w:rsidR="00221B24">
        <w:rPr>
          <w:i w:val="1"/>
          <w:iCs w:val="1"/>
        </w:rPr>
        <w:t>Nous souhaitons avoir un impact en fournissant des instruments de diagnostic rapides et</w:t>
      </w:r>
      <w:r w:rsidR="00221B24">
        <w:rPr/>
        <w:t xml:space="preserve"> </w:t>
      </w:r>
      <w:r w:rsidRPr="456237F2" w:rsidR="00221B24">
        <w:rPr>
          <w:i w:val="1"/>
          <w:iCs w:val="1"/>
        </w:rPr>
        <w:t>accessibles. De cette façon, nous pouvons nous assurer que tout le monde reçoit le bon traitement au bon moment.</w:t>
      </w:r>
      <w:r w:rsidRPr="456237F2" w:rsidR="355F9F38">
        <w:rPr>
          <w:rFonts w:ascii="Arial" w:hAnsi="Arial" w:eastAsia="Arial" w:cs="Arial"/>
          <w:b w:val="0"/>
          <w:bCs w:val="0"/>
          <w:i w:val="1"/>
          <w:iCs w:val="1"/>
          <w:caps w:val="0"/>
          <w:smallCaps w:val="0"/>
          <w:strike w:val="0"/>
          <w:dstrike w:val="0"/>
          <w:noProof w:val="0"/>
          <w:color w:val="000000" w:themeColor="text1" w:themeTint="FF" w:themeShade="FF"/>
          <w:sz w:val="22"/>
          <w:szCs w:val="22"/>
          <w:u w:val="none"/>
          <w:lang w:val="fr-FR"/>
        </w:rPr>
        <w:t xml:space="preserve"> »</w:t>
      </w:r>
      <w:r w:rsidRPr="456237F2" w:rsidR="00221B24">
        <w:rPr>
          <w:i w:val="1"/>
          <w:iCs w:val="1"/>
        </w:rPr>
        <w:t xml:space="preserve"> </w:t>
      </w:r>
    </w:p>
    <w:p w:rsidR="4080770B" w:rsidP="4080770B" w:rsidRDefault="4080770B" w14:paraId="13BFBE1F" w14:textId="77777777">
      <w:pPr>
        <w:spacing w:line="240" w:lineRule="auto"/>
        <w:jc w:val="both"/>
      </w:pPr>
    </w:p>
    <w:p w:rsidR="00420BD2" w:rsidRDefault="00221B24" w14:paraId="13BFBE20" w14:textId="77777777">
      <w:pPr>
        <w:spacing w:line="240" w:lineRule="auto"/>
        <w:jc w:val="both"/>
        <w:rPr>
          <w:sz w:val="20"/>
          <w:szCs w:val="20"/>
        </w:rPr>
      </w:pPr>
      <w:r>
        <w:rPr>
          <w:color w:val="00000A"/>
        </w:rPr>
        <w:t>En fournissant un accès diagnostique à tous et partout, l'invention apporte également efficacité et clarté dans le domaine des soins prodigués aux patients, encourage l'utilisation responsable de médicaments anti-germes, évite l'utilisation abusive des antibiotiques et améliore le suivi des maladies, contribuant ainsi à l'objectif de développement durable (ODD) 3 des Nations Unies pour la bonne santé et le bien-être</w:t>
      </w:r>
      <w:r>
        <w:t>.</w:t>
      </w:r>
    </w:p>
    <w:p w:rsidR="00420BD2" w:rsidRDefault="00420BD2" w14:paraId="13BFBE21" w14:textId="77777777">
      <w:pPr>
        <w:spacing w:line="240" w:lineRule="auto"/>
        <w:jc w:val="both"/>
        <w:rPr>
          <w:b/>
        </w:rPr>
      </w:pPr>
    </w:p>
    <w:p w:rsidR="00420BD2" w:rsidP="4080770B" w:rsidRDefault="00221B24" w14:paraId="13BFBE22" w14:textId="10D068AD">
      <w:pPr>
        <w:spacing w:line="240" w:lineRule="auto"/>
        <w:jc w:val="both"/>
      </w:pPr>
      <w:r w:rsidR="00221B24">
        <w:rPr/>
        <w:t xml:space="preserve">La jeune scientifique néerlandaise derrière cette innovation a été sélectionnée parmi les trois finalistes du Young </w:t>
      </w:r>
      <w:r w:rsidR="00221B24">
        <w:rPr/>
        <w:t>Inventors</w:t>
      </w:r>
      <w:r w:rsidR="00221B24">
        <w:rPr/>
        <w:t xml:space="preserve"> </w:t>
      </w:r>
      <w:r w:rsidR="00221B24">
        <w:rPr/>
        <w:t>Prize</w:t>
      </w:r>
      <w:r w:rsidR="00221B24">
        <w:rPr/>
        <w:t>, décerné dans le cadre du Prix de l'inventeur européen de cette année, récompensant les inventeurs européens exceptionnels âgés de moins de 30 ans pour leurs inventions</w:t>
      </w:r>
      <w:r w:rsidRPr="2529EA67" w:rsidR="00221B24">
        <w:rPr>
          <w:b w:val="1"/>
          <w:bCs w:val="1"/>
        </w:rPr>
        <w:t xml:space="preserve">. </w:t>
      </w:r>
      <w:r w:rsidR="678DCF79">
        <w:rPr>
          <w:b w:val="0"/>
          <w:bCs w:val="0"/>
        </w:rPr>
        <w:t xml:space="preserve">Les autres finalistes sont l'Ukrainien </w:t>
      </w:r>
      <w:r w:rsidR="678DCF79">
        <w:rPr>
          <w:b w:val="0"/>
          <w:bCs w:val="0"/>
        </w:rPr>
        <w:t>Valentyn</w:t>
      </w:r>
      <w:r w:rsidR="678DCF79">
        <w:rPr>
          <w:b w:val="0"/>
          <w:bCs w:val="0"/>
        </w:rPr>
        <w:t xml:space="preserve"> </w:t>
      </w:r>
      <w:r w:rsidR="678DCF79">
        <w:rPr>
          <w:b w:val="0"/>
          <w:bCs w:val="0"/>
        </w:rPr>
        <w:t>Frechka</w:t>
      </w:r>
      <w:r w:rsidR="678DCF79">
        <w:rPr>
          <w:b w:val="0"/>
          <w:bCs w:val="0"/>
        </w:rPr>
        <w:t xml:space="preserve">, qui a mis au point une méthode pour convertir les feuilles mortes en papier recyclable, réduisant ainsi la déforestation et les émissions de CO2, et une équipe d'inventrices tunisiennes, </w:t>
      </w:r>
      <w:r w:rsidR="678DCF79">
        <w:rPr>
          <w:b w:val="0"/>
          <w:bCs w:val="0"/>
        </w:rPr>
        <w:t>Khaoula</w:t>
      </w:r>
      <w:r w:rsidR="678DCF79">
        <w:rPr>
          <w:b w:val="0"/>
          <w:bCs w:val="0"/>
        </w:rPr>
        <w:t xml:space="preserve"> Ben Ahmed, </w:t>
      </w:r>
      <w:r w:rsidR="678DCF79">
        <w:rPr>
          <w:b w:val="0"/>
          <w:bCs w:val="0"/>
        </w:rPr>
        <w:t>Ghofrane</w:t>
      </w:r>
      <w:r w:rsidR="678DCF79">
        <w:rPr>
          <w:b w:val="0"/>
          <w:bCs w:val="0"/>
        </w:rPr>
        <w:t xml:space="preserve"> </w:t>
      </w:r>
      <w:r w:rsidR="678DCF79">
        <w:rPr>
          <w:b w:val="0"/>
          <w:bCs w:val="0"/>
        </w:rPr>
        <w:t>Ayari</w:t>
      </w:r>
      <w:r w:rsidR="678DCF79">
        <w:rPr>
          <w:b w:val="0"/>
          <w:bCs w:val="0"/>
        </w:rPr>
        <w:t xml:space="preserve">, </w:t>
      </w:r>
      <w:r w:rsidR="678DCF79">
        <w:rPr>
          <w:b w:val="0"/>
          <w:bCs w:val="0"/>
        </w:rPr>
        <w:t>Souleima</w:t>
      </w:r>
      <w:r w:rsidR="678DCF79">
        <w:rPr>
          <w:b w:val="0"/>
          <w:bCs w:val="0"/>
        </w:rPr>
        <w:t xml:space="preserve"> Ben </w:t>
      </w:r>
      <w:r w:rsidR="678DCF79">
        <w:rPr>
          <w:b w:val="0"/>
          <w:bCs w:val="0"/>
        </w:rPr>
        <w:t>Temime</w:t>
      </w:r>
      <w:r w:rsidR="678DCF79">
        <w:rPr>
          <w:b w:val="0"/>
          <w:bCs w:val="0"/>
        </w:rPr>
        <w:t xml:space="preserve"> et Sirine </w:t>
      </w:r>
      <w:r w:rsidR="678DCF79">
        <w:rPr>
          <w:b w:val="0"/>
          <w:bCs w:val="0"/>
        </w:rPr>
        <w:t>Ayari</w:t>
      </w:r>
      <w:r w:rsidR="678DCF79">
        <w:rPr>
          <w:b w:val="0"/>
          <w:bCs w:val="0"/>
        </w:rPr>
        <w:t>, qui ont mis au point une solution intelligente de contrôle des fauteuils roulants afin que les personnes gravement handicapées puissent se déplacer de manière autonome.</w:t>
      </w:r>
      <w:r w:rsidRPr="2529EA67" w:rsidR="678DCF79">
        <w:rPr>
          <w:b w:val="1"/>
          <w:bCs w:val="1"/>
        </w:rPr>
        <w:t xml:space="preserve"> </w:t>
      </w:r>
      <w:r w:rsidRPr="2529EA67" w:rsidR="00221B24">
        <w:rPr>
          <w:b w:val="1"/>
          <w:bCs w:val="1"/>
        </w:rPr>
        <w:t xml:space="preserve">Les lauréats de l'édition de 2024 du Prix de l'inventeur européen et du Young </w:t>
      </w:r>
      <w:r w:rsidRPr="2529EA67" w:rsidR="00221B24">
        <w:rPr>
          <w:b w:val="1"/>
          <w:bCs w:val="1"/>
        </w:rPr>
        <w:t>Inventors</w:t>
      </w:r>
      <w:r w:rsidRPr="2529EA67" w:rsidR="00221B24">
        <w:rPr>
          <w:b w:val="1"/>
          <w:bCs w:val="1"/>
        </w:rPr>
        <w:t xml:space="preserve"> </w:t>
      </w:r>
      <w:r w:rsidRPr="2529EA67" w:rsidR="00221B24">
        <w:rPr>
          <w:b w:val="1"/>
          <w:bCs w:val="1"/>
        </w:rPr>
        <w:t>Prize</w:t>
      </w:r>
      <w:r w:rsidRPr="2529EA67" w:rsidR="00221B24">
        <w:rPr>
          <w:b w:val="1"/>
          <w:bCs w:val="1"/>
        </w:rPr>
        <w:t xml:space="preserve"> seront annoncés </w:t>
      </w:r>
      <w:r w:rsidR="00221B24">
        <w:rPr/>
        <w:t xml:space="preserve">au cours d'une cérémonie </w:t>
      </w:r>
      <w:hyperlink r:id="R2e3b9ab5d26a4ce1">
        <w:r w:rsidRPr="2529EA67" w:rsidR="00221B24">
          <w:rPr>
            <w:rStyle w:val="Hyperlink"/>
          </w:rPr>
          <w:t>retransmise en direct</w:t>
        </w:r>
      </w:hyperlink>
      <w:r w:rsidR="0597ED5B">
        <w:rPr/>
        <w:t xml:space="preserve"> </w:t>
      </w:r>
      <w:r w:rsidR="00221B24">
        <w:rPr/>
        <w:t xml:space="preserve">depuis Malte, le 9 juillet 2024.   </w:t>
      </w:r>
    </w:p>
    <w:p w:rsidR="00420BD2" w:rsidP="2529EA67" w:rsidRDefault="00221B24" w14:paraId="13BFBE23" w14:textId="71153ACB">
      <w:pPr>
        <w:spacing w:line="240" w:lineRule="auto"/>
        <w:jc w:val="both"/>
        <w:rPr>
          <w:color w:val="00000A"/>
          <w:highlight w:val="yellow"/>
        </w:rPr>
      </w:pPr>
      <w:r>
        <w:br/>
      </w:r>
      <w:r w:rsidRPr="2529EA67" w:rsidR="00221B24">
        <w:rPr>
          <w:color w:val="00000A"/>
        </w:rPr>
        <w:t>Découvrez plus d'informations sur l'impact de l'invention, la technologie utilisée et l'histoire de l'inventrice</w:t>
      </w:r>
      <w:r w:rsidRPr="2529EA67" w:rsidR="046410C7">
        <w:rPr>
          <w:color w:val="00000A"/>
        </w:rPr>
        <w:t xml:space="preserve"> </w:t>
      </w:r>
      <w:hyperlink r:id="R0483bd8af277474a">
        <w:r w:rsidRPr="2529EA67" w:rsidR="046410C7">
          <w:rPr>
            <w:rStyle w:val="Hyperlink"/>
          </w:rPr>
          <w:t>ici</w:t>
        </w:r>
      </w:hyperlink>
      <w:r w:rsidRPr="2529EA67" w:rsidR="046410C7">
        <w:rPr>
          <w:color w:val="00000A"/>
        </w:rPr>
        <w:t>.</w:t>
      </w:r>
    </w:p>
    <w:p w:rsidR="00420BD2" w:rsidRDefault="00420BD2" w14:paraId="13BFBE24" w14:textId="77777777">
      <w:pPr>
        <w:spacing w:line="360" w:lineRule="auto"/>
        <w:rPr>
          <w:b/>
        </w:rPr>
      </w:pPr>
    </w:p>
    <w:p w:rsidR="00420BD2" w:rsidRDefault="00221B24" w14:paraId="13BFBE25" w14:textId="77777777">
      <w:pPr>
        <w:spacing w:after="160" w:line="259" w:lineRule="auto"/>
        <w:rPr>
          <w:sz w:val="20"/>
          <w:szCs w:val="20"/>
        </w:rPr>
      </w:pPr>
      <w:r>
        <w:rPr>
          <w:b/>
          <w:sz w:val="20"/>
        </w:rPr>
        <w:t>Relations avec les médias – Office européen des brevets</w:t>
      </w:r>
    </w:p>
    <w:p w:rsidR="00420BD2" w:rsidRDefault="00221B24" w14:paraId="13BFBE26" w14:textId="77777777">
      <w:pPr>
        <w:spacing w:line="240" w:lineRule="auto"/>
        <w:rPr>
          <w:sz w:val="20"/>
          <w:szCs w:val="20"/>
        </w:rPr>
      </w:pPr>
      <w:r>
        <w:rPr>
          <w:b/>
          <w:sz w:val="20"/>
        </w:rPr>
        <w:t>Luis Berenguer Giménez</w:t>
      </w:r>
      <w:r>
        <w:rPr>
          <w:sz w:val="20"/>
        </w:rPr>
        <w:t xml:space="preserve"> </w:t>
      </w:r>
      <w:r>
        <w:br/>
      </w:r>
      <w:r>
        <w:rPr>
          <w:sz w:val="20"/>
        </w:rPr>
        <w:t>Directeur principal Communication / Porte-parole de l'OEB</w:t>
      </w:r>
    </w:p>
    <w:p w:rsidR="00420BD2" w:rsidRDefault="00420BD2" w14:paraId="13BFBE27" w14:textId="77777777">
      <w:pPr>
        <w:spacing w:line="240" w:lineRule="auto"/>
        <w:rPr>
          <w:b/>
          <w:sz w:val="20"/>
          <w:szCs w:val="20"/>
        </w:rPr>
      </w:pPr>
    </w:p>
    <w:p w:rsidR="00420BD2" w:rsidRDefault="00221B24" w14:paraId="13BFBE28" w14:textId="77777777">
      <w:pPr>
        <w:spacing w:line="240" w:lineRule="auto"/>
        <w:rPr>
          <w:sz w:val="20"/>
          <w:szCs w:val="20"/>
        </w:rPr>
      </w:pPr>
      <w:r>
        <w:rPr>
          <w:b/>
          <w:sz w:val="20"/>
        </w:rPr>
        <w:t>Service presse de l'OEB</w:t>
      </w:r>
    </w:p>
    <w:p w:rsidR="00420BD2" w:rsidRDefault="00413E5B" w14:paraId="13BFBE29" w14:textId="77777777">
      <w:pPr>
        <w:rPr>
          <w:b/>
          <w:sz w:val="18"/>
          <w:szCs w:val="18"/>
        </w:rPr>
      </w:pPr>
      <w:hyperlink r:id="Rf5e93d42f7474e2c">
        <w:r w:rsidRPr="2529EA67" w:rsidR="00003EE0">
          <w:rPr>
            <w:color w:val="0000FF"/>
            <w:sz w:val="20"/>
            <w:szCs w:val="20"/>
            <w:u w:val="single"/>
          </w:rPr>
          <w:t>press@epo.org</w:t>
        </w:r>
      </w:hyperlink>
      <w:r w:rsidRPr="2529EA67" w:rsidR="00003EE0">
        <w:rPr>
          <w:sz w:val="20"/>
          <w:szCs w:val="20"/>
        </w:rPr>
        <w:t xml:space="preserve"> </w:t>
      </w:r>
      <w:r>
        <w:br/>
      </w:r>
      <w:r w:rsidRPr="2529EA67" w:rsidR="00003EE0">
        <w:rPr>
          <w:sz w:val="20"/>
          <w:szCs w:val="20"/>
        </w:rPr>
        <w:t>Tél. : +49 89 2399-1833</w:t>
      </w:r>
      <w:r>
        <w:br/>
      </w:r>
    </w:p>
    <w:p w:rsidR="767EC6A2" w:rsidP="2529EA67" w:rsidRDefault="767EC6A2" w14:paraId="38801E5F" w14:textId="658174B3">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1"/>
          <w:bCs w:val="1"/>
          <w:i w:val="0"/>
          <w:iCs w:val="0"/>
          <w:caps w:val="0"/>
          <w:smallCaps w:val="0"/>
          <w:noProof w:val="0"/>
          <w:color w:val="000000" w:themeColor="text1" w:themeTint="FF" w:themeShade="FF"/>
          <w:sz w:val="18"/>
          <w:szCs w:val="18"/>
          <w:lang w:val="fr-FR"/>
        </w:rPr>
        <w:t>À propos du Young Inventors Prize</w:t>
      </w:r>
    </w:p>
    <w:p w:rsidR="767EC6A2" w:rsidP="2529EA67" w:rsidRDefault="767EC6A2" w14:paraId="30577709" w14:textId="40340E0E">
      <w:pPr>
        <w:pStyle w:val="Norm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L'Office européen des brevets a créé le Young Inventors Prize en 2021 pour inspirer la prochaine génération d'inventeurs et d'inventrices. Le prix s'adresse aux innovateurs et innovatrices du monde entier âgé(e)s de 30 ans ou moins et reconnaît les initiatives qui utilisent la technologie pour contribuer aux objectifs de développement durable des Nations Unies. Le lauréat ou la lauréate reçoit 20 000 EUR et les finalistes arrivant en deuxième et troisième position reçoivent respectivement 10 000 EUR et 5 000 EUR. Un jury indépendant composé d'anciens finalistes du Prix de l'inventeur européen et du Young Inventors Prize sélectionne les finalistes et les lauréats. L'OEB remettra le prix lors de la cérémonie hybride du Prix de l'inventeur européen 2024, le 9 juillet. Contrairement aux catégories traditionnelles, les finalistes du Young Inventors Prize n'ont pas besoin de détenir un brevet européen pour être candidats pour ce prix. </w:t>
      </w:r>
      <w:hyperlink w:anchor="prizes" r:id="R555027ae04484538">
        <w:r w:rsidRPr="2529EA67" w:rsidR="767EC6A2">
          <w:rPr>
            <w:rStyle w:val="Hyperlink"/>
            <w:rFonts w:ascii="Arial" w:hAnsi="Arial" w:eastAsia="Arial" w:cs="Arial"/>
            <w:b w:val="0"/>
            <w:bCs w:val="0"/>
            <w:i w:val="0"/>
            <w:iCs w:val="0"/>
            <w:caps w:val="0"/>
            <w:smallCaps w:val="0"/>
            <w:strike w:val="0"/>
            <w:dstrike w:val="0"/>
            <w:noProof w:val="0"/>
            <w:sz w:val="18"/>
            <w:szCs w:val="18"/>
            <w:lang w:val="fr-FR"/>
          </w:rPr>
          <w:t>En savoir plus</w:t>
        </w:r>
      </w:hyperlink>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 sur les critères d'admissibilité et de sélection du Young Inventors Prize.</w:t>
      </w:r>
    </w:p>
    <w:p w:rsidR="767EC6A2" w:rsidP="2529EA67" w:rsidRDefault="767EC6A2" w14:paraId="38AD9522" w14:textId="27DA5A23">
      <w:pPr>
        <w:spacing w:before="240" w:after="240"/>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1"/>
          <w:bCs w:val="1"/>
          <w:i w:val="0"/>
          <w:iCs w:val="0"/>
          <w:caps w:val="0"/>
          <w:smallCaps w:val="0"/>
          <w:strike w:val="0"/>
          <w:dstrike w:val="0"/>
          <w:noProof w:val="0"/>
          <w:color w:val="000000" w:themeColor="text1" w:themeTint="FF" w:themeShade="FF"/>
          <w:sz w:val="18"/>
          <w:szCs w:val="18"/>
          <w:u w:val="none"/>
          <w:lang w:val="fr-FR"/>
        </w:rPr>
        <w:t xml:space="preserve">À propos du Prix de l’inventeur européen </w:t>
      </w:r>
      <w:r w:rsidRPr="2529EA67" w:rsidR="767EC6A2">
        <w:rPr>
          <w:rFonts w:ascii="Arial" w:hAnsi="Arial" w:eastAsia="Arial" w:cs="Arial"/>
          <w:b w:val="0"/>
          <w:bCs w:val="0"/>
          <w:i w:val="0"/>
          <w:iCs w:val="0"/>
          <w:caps w:val="0"/>
          <w:smallCaps w:val="0"/>
          <w:noProof w:val="0"/>
          <w:color w:val="000000" w:themeColor="text1" w:themeTint="FF" w:themeShade="FF"/>
          <w:sz w:val="18"/>
          <w:szCs w:val="18"/>
          <w:lang w:val="en-GB"/>
        </w:rPr>
        <w:t xml:space="preserve"> </w:t>
      </w:r>
    </w:p>
    <w:p w:rsidR="767EC6A2" w:rsidP="2529EA67" w:rsidRDefault="767EC6A2" w14:paraId="3F43BBEA" w14:textId="384BEC17">
      <w:pPr>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Le Prix de l'inventeur européen est l'un des prix d'innovation les plus prestigieux d'Europe. Lancé par l'OEB en 2006, il récompense des personnes et des équipes qui ont trouvé des solutions à certains des plus grands défis de notre époque. Le jury du Prix de l'inventeur européen est composé d'inventeurs qui sont tous d'anciens finalistes. Pour juger les propositions, le panel indépendant s'appuie sur leur riche expertise technique, commerciale et en matière de propriété intellectuelle. En 2024, le jury sera présidé par Wolfgang M. Heckl. Tous les inventeurs doivent avoir obtenu un brevet européen pour leur invention. Pour en savoir plus sur les différentes catégories, les prix, les critères de sélection et la cérémonie en direct qui se tiendra le 9 juillet à Malte, cliquez </w:t>
      </w:r>
      <w:hyperlink r:id="R8859351c6b9a41ca">
        <w:r w:rsidRPr="2529EA67" w:rsidR="767EC6A2">
          <w:rPr>
            <w:rStyle w:val="Hyperlink"/>
            <w:rFonts w:ascii="Arial" w:hAnsi="Arial" w:eastAsia="Arial" w:cs="Arial"/>
            <w:b w:val="0"/>
            <w:bCs w:val="0"/>
            <w:i w:val="0"/>
            <w:iCs w:val="0"/>
            <w:caps w:val="0"/>
            <w:smallCaps w:val="0"/>
            <w:strike w:val="0"/>
            <w:dstrike w:val="0"/>
            <w:noProof w:val="0"/>
            <w:sz w:val="18"/>
            <w:szCs w:val="18"/>
            <w:lang w:val="fr-FR"/>
          </w:rPr>
          <w:t>ici</w:t>
        </w:r>
      </w:hyperlink>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    </w:t>
      </w:r>
    </w:p>
    <w:p w:rsidR="767EC6A2" w:rsidP="2529EA67" w:rsidRDefault="767EC6A2" w14:paraId="7E2FC4D7" w14:textId="64E531A4">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1"/>
          <w:bCs w:val="1"/>
          <w:i w:val="0"/>
          <w:iCs w:val="0"/>
          <w:caps w:val="0"/>
          <w:smallCaps w:val="0"/>
          <w:noProof w:val="0"/>
          <w:color w:val="000000" w:themeColor="text1" w:themeTint="FF" w:themeShade="FF"/>
          <w:sz w:val="18"/>
          <w:szCs w:val="18"/>
          <w:lang w:val="fr-FR"/>
        </w:rPr>
        <w:t xml:space="preserve">À propos de l'OEB </w:t>
      </w:r>
    </w:p>
    <w:p w:rsidR="767EC6A2" w:rsidP="2529EA67" w:rsidRDefault="767EC6A2" w14:paraId="5C7F5F15" w14:textId="6DAC6511">
      <w:pPr>
        <w:widowControl w:val="0"/>
        <w:spacing w:before="240" w:after="240" w:line="240" w:lineRule="auto"/>
        <w:jc w:val="both"/>
        <w:rPr>
          <w:rFonts w:ascii="Arial" w:hAnsi="Arial" w:eastAsia="Arial" w:cs="Arial"/>
          <w:b w:val="0"/>
          <w:bCs w:val="0"/>
          <w:i w:val="0"/>
          <w:iCs w:val="0"/>
          <w:caps w:val="0"/>
          <w:smallCaps w:val="0"/>
          <w:noProof w:val="0"/>
          <w:color w:val="000000" w:themeColor="text1" w:themeTint="FF" w:themeShade="FF"/>
          <w:sz w:val="18"/>
          <w:szCs w:val="18"/>
          <w:lang w:val="fr-FR"/>
        </w:rPr>
      </w:pPr>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Fort d'un effectif de 6 300 personnes, </w:t>
      </w:r>
      <w:hyperlink r:id="R21d7328c188b450e">
        <w:r w:rsidRPr="2529EA67" w:rsidR="767EC6A2">
          <w:rPr>
            <w:rStyle w:val="Hyperlink"/>
            <w:rFonts w:ascii="Arial" w:hAnsi="Arial" w:eastAsia="Arial" w:cs="Arial"/>
            <w:b w:val="0"/>
            <w:bCs w:val="0"/>
            <w:i w:val="0"/>
            <w:iCs w:val="0"/>
            <w:caps w:val="0"/>
            <w:smallCaps w:val="0"/>
            <w:strike w:val="0"/>
            <w:dstrike w:val="0"/>
            <w:noProof w:val="0"/>
            <w:sz w:val="18"/>
            <w:szCs w:val="18"/>
            <w:lang w:val="fr-FR"/>
          </w:rPr>
          <w:t>l'Office européen des brevets (OEB)</w:t>
        </w:r>
      </w:hyperlink>
      <w:r w:rsidRPr="2529EA67" w:rsidR="767EC6A2">
        <w:rPr>
          <w:rFonts w:ascii="Arial" w:hAnsi="Arial" w:eastAsia="Arial" w:cs="Arial"/>
          <w:b w:val="0"/>
          <w:bCs w:val="0"/>
          <w:i w:val="0"/>
          <w:iCs w:val="0"/>
          <w:caps w:val="0"/>
          <w:smallCaps w:val="0"/>
          <w:noProof w:val="0"/>
          <w:color w:val="000000" w:themeColor="text1" w:themeTint="FF" w:themeShade="FF"/>
          <w:sz w:val="18"/>
          <w:szCs w:val="18"/>
          <w:lang w:val="fr-FR"/>
        </w:rPr>
        <w:t xml:space="preserve"> est l'une des plus grandes institutions de service public en Europe. Son siège est à Munich et il dispose de bureaux à Berlin, Bruxelles, La Haye et Vienne. L'OEB a été créé dans l'objectif de renforcer la coopération en matière de brevets en Europe. Grâce à la procédure centralisée de délivrance des brevets de l'OEB, les inventeurs peuvent obtenir une protection par brevet de haute qualité dans jusqu'à 45 pays, couvrant un marché de quelque 700 millions de personnes. L'OEB est également la référence mondiale en matière d'information brevets et de recherche de brevets.</w:t>
      </w:r>
    </w:p>
    <w:p w:rsidR="2529EA67" w:rsidP="2529EA67" w:rsidRDefault="2529EA67" w14:paraId="78656E0E" w14:textId="543BCE5D">
      <w:pPr>
        <w:pStyle w:val="Normal"/>
        <w:widowControl w:val="0"/>
        <w:tabs>
          <w:tab w:val="left" w:leader="none" w:pos="939"/>
        </w:tabs>
        <w:spacing w:before="3" w:line="240" w:lineRule="auto"/>
        <w:ind w:left="939"/>
      </w:pPr>
    </w:p>
    <w:sectPr w:rsidR="00420BD2">
      <w:headerReference w:type="default" r:id="rId17"/>
      <w:pgSz w:w="11909" w:h="16834" w:orient="portrait"/>
      <w:pgMar w:top="1440" w:right="1440" w:bottom="1440" w:left="1440" w:header="720" w:footer="720" w:gutter="0"/>
      <w:pgNumType w:start="1"/>
      <w:cols w:space="720"/>
      <w:footerReference w:type="default" r:id="R4cae8653c1d049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23816" w:rsidRDefault="00323816" w14:paraId="09106698" w14:textId="77777777">
      <w:pPr>
        <w:spacing w:line="240" w:lineRule="auto"/>
      </w:pPr>
      <w:r>
        <w:separator/>
      </w:r>
    </w:p>
  </w:endnote>
  <w:endnote w:type="continuationSeparator" w:id="0">
    <w:p w:rsidR="00323816" w:rsidRDefault="00323816" w14:paraId="0DD38C29" w14:textId="77777777">
      <w:pPr>
        <w:spacing w:line="240" w:lineRule="auto"/>
      </w:pPr>
      <w:r>
        <w:continuationSeparator/>
      </w:r>
    </w:p>
  </w:endnote>
  <w:endnote w:type="continuationNotice" w:id="1">
    <w:p w:rsidR="00323816" w:rsidRDefault="00323816" w14:paraId="3972DDF4"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CAEB6304-C2BD-4A52-A17D-E17DB6520DE5}" r:id="rId1"/>
    <w:embedItalic w:fontKey="{E4E3B536-8CF8-47EA-9C4C-C4E304B2895F}" r:id="rI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AD24597-FC7D-4108-A0D0-887EBDC45702}" r:id="rId3"/>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2529EA67" w:rsidTr="2529EA67" w14:paraId="644015F0">
      <w:trPr>
        <w:trHeight w:val="300"/>
      </w:trPr>
      <w:tc>
        <w:tcPr>
          <w:tcW w:w="3005" w:type="dxa"/>
          <w:tcMar/>
        </w:tcPr>
        <w:p w:rsidR="2529EA67" w:rsidP="2529EA67" w:rsidRDefault="2529EA67" w14:paraId="6984A747" w14:textId="26C06B56">
          <w:pPr>
            <w:pStyle w:val="Header"/>
            <w:bidi w:val="0"/>
            <w:ind w:left="-115"/>
            <w:jc w:val="left"/>
          </w:pPr>
        </w:p>
      </w:tc>
      <w:tc>
        <w:tcPr>
          <w:tcW w:w="3005" w:type="dxa"/>
          <w:tcMar/>
        </w:tcPr>
        <w:p w:rsidR="2529EA67" w:rsidP="2529EA67" w:rsidRDefault="2529EA67" w14:paraId="2E14E295" w14:textId="21ECC98D">
          <w:pPr>
            <w:pStyle w:val="Header"/>
            <w:bidi w:val="0"/>
            <w:jc w:val="center"/>
          </w:pPr>
        </w:p>
      </w:tc>
      <w:tc>
        <w:tcPr>
          <w:tcW w:w="3005" w:type="dxa"/>
          <w:tcMar/>
        </w:tcPr>
        <w:p w:rsidR="2529EA67" w:rsidP="2529EA67" w:rsidRDefault="2529EA67" w14:paraId="20E601F2" w14:textId="0E9CBCAD">
          <w:pPr>
            <w:pStyle w:val="Header"/>
            <w:bidi w:val="0"/>
            <w:ind w:right="-115"/>
            <w:jc w:val="right"/>
          </w:pPr>
        </w:p>
      </w:tc>
    </w:tr>
  </w:tbl>
  <w:p w:rsidR="2529EA67" w:rsidP="2529EA67" w:rsidRDefault="2529EA67" w14:paraId="4D04FB9A" w14:textId="52F5E421">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23816" w:rsidRDefault="00323816" w14:paraId="53245736" w14:textId="77777777">
      <w:pPr>
        <w:spacing w:line="240" w:lineRule="auto"/>
      </w:pPr>
      <w:r>
        <w:separator/>
      </w:r>
    </w:p>
  </w:footnote>
  <w:footnote w:type="continuationSeparator" w:id="0">
    <w:p w:rsidR="00323816" w:rsidRDefault="00323816" w14:paraId="11829ED8" w14:textId="77777777">
      <w:pPr>
        <w:spacing w:line="240" w:lineRule="auto"/>
      </w:pPr>
      <w:r>
        <w:continuationSeparator/>
      </w:r>
    </w:p>
  </w:footnote>
  <w:footnote w:type="continuationNotice" w:id="1">
    <w:p w:rsidR="00323816" w:rsidRDefault="00323816" w14:paraId="3C5B644D" w14:textId="7777777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Style w:val="TableNormal"/>
      <w:tblW w:w="0" w:type="auto"/>
      <w:tblBorders>
        <w:top w:val="none" w:color="000000" w:themeColor="text1" w:sz="12"/>
        <w:left w:val="none" w:color="000000" w:themeColor="text1" w:sz="12"/>
        <w:bottom w:val="none" w:color="000000" w:themeColor="text1" w:sz="12"/>
        <w:right w:val="none" w:color="000000" w:themeColor="text1" w:sz="12"/>
        <w:insideH w:val="none" w:color="000000" w:themeColor="text1" w:sz="12"/>
        <w:insideV w:val="none" w:color="000000" w:themeColor="text1" w:sz="12"/>
      </w:tblBorders>
      <w:tblLayout w:type="fixed"/>
      <w:tblLook w:val="06A0" w:firstRow="1" w:lastRow="0" w:firstColumn="1" w:lastColumn="0" w:noHBand="1" w:noVBand="1"/>
    </w:tblPr>
    <w:tblGrid>
      <w:gridCol w:w="3000"/>
      <w:gridCol w:w="3000"/>
      <w:gridCol w:w="3000"/>
    </w:tblGrid>
    <w:tr w:rsidR="2529EA67" w:rsidTr="2529EA67" w14:paraId="6AA30A00">
      <w:trPr>
        <w:trHeight w:val="300"/>
      </w:trPr>
      <w:tc>
        <w:tcPr>
          <w:tcW w:w="3000" w:type="dxa"/>
          <w:tcMar>
            <w:left w:w="105" w:type="dxa"/>
            <w:right w:w="105" w:type="dxa"/>
          </w:tcMar>
          <w:vAlign w:val="top"/>
        </w:tcPr>
        <w:p w:rsidR="2529EA67" w:rsidP="2529EA67" w:rsidRDefault="2529EA67" w14:paraId="0E3EA132" w14:textId="20DD59C6">
          <w:pPr>
            <w:tabs>
              <w:tab w:val="center" w:leader="none" w:pos="4680"/>
              <w:tab w:val="right" w:leader="none" w:pos="9360"/>
            </w:tabs>
            <w:spacing w:line="240" w:lineRule="auto"/>
            <w:ind w:left="-115"/>
            <w:jc w:val="left"/>
            <w:rPr>
              <w:rFonts w:ascii="Arial" w:hAnsi="Arial" w:eastAsia="Arial" w:cs="Arial"/>
              <w:b w:val="0"/>
              <w:bCs w:val="0"/>
              <w:i w:val="0"/>
              <w:iCs w:val="0"/>
              <w:caps w:val="0"/>
              <w:smallCaps w:val="0"/>
              <w:color w:val="000000" w:themeColor="text1" w:themeTint="FF" w:themeShade="FF"/>
              <w:sz w:val="22"/>
              <w:szCs w:val="22"/>
            </w:rPr>
          </w:pPr>
          <w:r w:rsidR="2529EA67">
            <w:drawing>
              <wp:inline wp14:editId="295B7D9A" wp14:anchorId="3D5140FB">
                <wp:extent cx="1485900" cy="742950"/>
                <wp:effectExtent l="0" t="0" r="0" b="0"/>
                <wp:docPr id="1167525498" name="" descr="Logo European Patent Office" title=""/>
                <wp:cNvGraphicFramePr>
                  <a:graphicFrameLocks noChangeAspect="1"/>
                </wp:cNvGraphicFramePr>
                <a:graphic>
                  <a:graphicData uri="http://schemas.openxmlformats.org/drawingml/2006/picture">
                    <pic:pic>
                      <pic:nvPicPr>
                        <pic:cNvPr id="0" name=""/>
                        <pic:cNvPicPr/>
                      </pic:nvPicPr>
                      <pic:blipFill>
                        <a:blip r:embed="R4b22a87a6a854fd2">
                          <a:extLst>
                            <a:ext xmlns:a="http://schemas.openxmlformats.org/drawingml/2006/main" uri="{28A0092B-C50C-407E-A947-70E740481C1C}">
                              <a14:useLocalDpi val="0"/>
                            </a:ext>
                          </a:extLst>
                        </a:blip>
                        <a:stretch>
                          <a:fillRect/>
                        </a:stretch>
                      </pic:blipFill>
                      <pic:spPr>
                        <a:xfrm>
                          <a:off x="0" y="0"/>
                          <a:ext cx="1485900" cy="742950"/>
                        </a:xfrm>
                        <a:prstGeom prst="rect">
                          <a:avLst/>
                        </a:prstGeom>
                      </pic:spPr>
                    </pic:pic>
                  </a:graphicData>
                </a:graphic>
              </wp:inline>
            </w:drawing>
          </w:r>
        </w:p>
      </w:tc>
      <w:tc>
        <w:tcPr>
          <w:tcW w:w="3000" w:type="dxa"/>
          <w:tcMar>
            <w:left w:w="105" w:type="dxa"/>
            <w:right w:w="105" w:type="dxa"/>
          </w:tcMar>
          <w:vAlign w:val="top"/>
        </w:tcPr>
        <w:p w:rsidR="2529EA67" w:rsidP="2529EA67" w:rsidRDefault="2529EA67" w14:paraId="2A123CEB" w14:textId="402C78BA">
          <w:pPr>
            <w:tabs>
              <w:tab w:val="center" w:leader="none" w:pos="4680"/>
              <w:tab w:val="right" w:leader="none" w:pos="9360"/>
            </w:tabs>
            <w:spacing w:line="240" w:lineRule="auto"/>
            <w:jc w:val="center"/>
            <w:rPr>
              <w:rFonts w:ascii="Arial" w:hAnsi="Arial" w:eastAsia="Arial" w:cs="Arial"/>
              <w:b w:val="0"/>
              <w:bCs w:val="0"/>
              <w:i w:val="0"/>
              <w:iCs w:val="0"/>
              <w:caps w:val="0"/>
              <w:smallCaps w:val="0"/>
              <w:color w:val="000000" w:themeColor="text1" w:themeTint="FF" w:themeShade="FF"/>
              <w:sz w:val="22"/>
              <w:szCs w:val="22"/>
            </w:rPr>
          </w:pPr>
        </w:p>
      </w:tc>
      <w:tc>
        <w:tcPr>
          <w:tcW w:w="3000" w:type="dxa"/>
          <w:tcMar>
            <w:left w:w="105" w:type="dxa"/>
            <w:right w:w="105" w:type="dxa"/>
          </w:tcMar>
          <w:vAlign w:val="top"/>
        </w:tcPr>
        <w:p w:rsidR="2529EA67" w:rsidP="2529EA67" w:rsidRDefault="2529EA67" w14:paraId="6B8F388B" w14:textId="7BEF27AE">
          <w:pPr>
            <w:tabs>
              <w:tab w:val="center" w:leader="none" w:pos="4680"/>
              <w:tab w:val="right" w:leader="none" w:pos="9360"/>
            </w:tabs>
            <w:spacing w:line="240" w:lineRule="auto"/>
            <w:ind w:right="-115"/>
            <w:jc w:val="right"/>
            <w:rPr>
              <w:rFonts w:ascii="Arial" w:hAnsi="Arial" w:eastAsia="Arial" w:cs="Arial"/>
              <w:b w:val="0"/>
              <w:bCs w:val="0"/>
              <w:i w:val="0"/>
              <w:iCs w:val="0"/>
              <w:caps w:val="0"/>
              <w:smallCaps w:val="0"/>
              <w:color w:val="000000" w:themeColor="text1" w:themeTint="FF" w:themeShade="FF"/>
              <w:sz w:val="22"/>
              <w:szCs w:val="22"/>
            </w:rPr>
          </w:pPr>
          <w:r w:rsidR="2529EA67">
            <w:drawing>
              <wp:inline wp14:editId="7EF3126E" wp14:anchorId="16EB7678">
                <wp:extent cx="1733550" cy="628650"/>
                <wp:effectExtent l="0" t="0" r="0" b="0"/>
                <wp:docPr id="1437529898" name="" title=""/>
                <wp:cNvGraphicFramePr>
                  <a:graphicFrameLocks noChangeAspect="1"/>
                </wp:cNvGraphicFramePr>
                <a:graphic>
                  <a:graphicData uri="http://schemas.openxmlformats.org/drawingml/2006/picture">
                    <pic:pic>
                      <pic:nvPicPr>
                        <pic:cNvPr id="0" name=""/>
                        <pic:cNvPicPr/>
                      </pic:nvPicPr>
                      <pic:blipFill>
                        <a:blip r:embed="R7725b5ae1fc24986">
                          <a:extLst>
                            <a:ext xmlns:a="http://schemas.openxmlformats.org/drawingml/2006/main" uri="{28A0092B-C50C-407E-A947-70E740481C1C}">
                              <a14:useLocalDpi val="0"/>
                            </a:ext>
                          </a:extLst>
                        </a:blip>
                        <a:stretch>
                          <a:fillRect/>
                        </a:stretch>
                      </pic:blipFill>
                      <pic:spPr>
                        <a:xfrm>
                          <a:off x="0" y="0"/>
                          <a:ext cx="1733550" cy="628650"/>
                        </a:xfrm>
                        <a:prstGeom prst="rect">
                          <a:avLst/>
                        </a:prstGeom>
                      </pic:spPr>
                    </pic:pic>
                  </a:graphicData>
                </a:graphic>
              </wp:inline>
            </w:drawing>
          </w:r>
        </w:p>
      </w:tc>
    </w:tr>
  </w:tbl>
  <w:p w:rsidR="00420BD2" w:rsidP="2529EA67" w:rsidRDefault="00420BD2" w14:paraId="13BFBE37" w14:textId="7A4CD88D">
    <w:pPr>
      <w:pStyle w:val="Normal"/>
    </w:pPr>
  </w:p>
</w:hdr>
</file>

<file path=word/intelligence2.xml><?xml version="1.0" encoding="utf-8"?>
<int2:intelligence xmlns:int2="http://schemas.microsoft.com/office/intelligence/2020/intelligence" xmlns:oel="http://schemas.microsoft.com/office/2019/extlst">
  <int2:observations>
    <int2:textHash int2:hashCode="qwGhXrBRmABPpj" int2:id="BwSdscUE">
      <int2:state int2:value="Rejected" int2:type="AugLoop_Text_Critique"/>
    </int2:textHash>
    <int2:textHash int2:hashCode="TCHS/Di6yZ2CrY" int2:id="NpNjgahu">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A7C"/>
    <w:multiLevelType w:val="multilevel"/>
    <w:tmpl w:val="7A6876B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0F4E6B"/>
    <w:multiLevelType w:val="multilevel"/>
    <w:tmpl w:val="4B64BEF8"/>
    <w:lvl w:ilvl="0">
      <w:start w:val="1"/>
      <w:numFmt w:val="bullet"/>
      <w:pStyle w:val="EPOBullet2ndlevel"/>
      <w:lvlText w:val="-"/>
      <w:lvlJc w:val="left"/>
      <w:pPr>
        <w:tabs>
          <w:tab w:val="num" w:pos="1701"/>
        </w:tabs>
        <w:ind w:left="1701" w:hanging="567"/>
      </w:pPr>
      <w:rPr>
        <w:rFonts w:hint="default" w:ascii="Symbol" w:hAnsi="Symbol"/>
      </w:rPr>
    </w:lvl>
    <w:lvl w:ilvl="1">
      <w:start w:val="1"/>
      <w:numFmt w:val="bullet"/>
      <w:lvlText w:val="-"/>
      <w:lvlJc w:val="left"/>
      <w:pPr>
        <w:tabs>
          <w:tab w:val="num" w:pos="2268"/>
        </w:tabs>
        <w:ind w:left="2268" w:hanging="567"/>
      </w:pPr>
      <w:rPr>
        <w:rFonts w:hint="default" w:ascii="Symbol" w:hAnsi="Symbol"/>
      </w:rPr>
    </w:lvl>
    <w:lvl w:ilvl="2">
      <w:start w:val="1"/>
      <w:numFmt w:val="bullet"/>
      <w:lvlText w:val="-"/>
      <w:lvlJc w:val="left"/>
      <w:pPr>
        <w:tabs>
          <w:tab w:val="num" w:pos="2835"/>
        </w:tabs>
        <w:ind w:left="2835" w:hanging="567"/>
      </w:pPr>
      <w:rPr>
        <w:rFonts w:hint="default" w:ascii="Symbol" w:hAnsi="Symbol"/>
      </w:rPr>
    </w:lvl>
    <w:lvl w:ilvl="3">
      <w:start w:val="1"/>
      <w:numFmt w:val="bullet"/>
      <w:lvlText w:val="-"/>
      <w:lvlJc w:val="left"/>
      <w:pPr>
        <w:tabs>
          <w:tab w:val="num" w:pos="3402"/>
        </w:tabs>
        <w:ind w:left="3402" w:hanging="567"/>
      </w:pPr>
      <w:rPr>
        <w:rFonts w:hint="default" w:ascii="Symbol" w:hAnsi="Symbol"/>
      </w:rPr>
    </w:lvl>
    <w:lvl w:ilvl="4">
      <w:start w:val="1"/>
      <w:numFmt w:val="bullet"/>
      <w:lvlText w:val="-"/>
      <w:lvlJc w:val="left"/>
      <w:pPr>
        <w:tabs>
          <w:tab w:val="num" w:pos="3969"/>
        </w:tabs>
        <w:ind w:left="3969" w:hanging="567"/>
      </w:pPr>
      <w:rPr>
        <w:rFonts w:hint="default" w:ascii="Symbol" w:hAnsi="Symbol"/>
      </w:rPr>
    </w:lvl>
    <w:lvl w:ilvl="5">
      <w:start w:val="1"/>
      <w:numFmt w:val="bullet"/>
      <w:lvlText w:val="-"/>
      <w:lvlJc w:val="left"/>
      <w:pPr>
        <w:tabs>
          <w:tab w:val="num" w:pos="4535"/>
        </w:tabs>
        <w:ind w:left="4535" w:hanging="566"/>
      </w:pPr>
      <w:rPr>
        <w:rFonts w:hint="default" w:ascii="Symbol" w:hAnsi="Symbol"/>
      </w:rPr>
    </w:lvl>
    <w:lvl w:ilvl="6">
      <w:start w:val="1"/>
      <w:numFmt w:val="bullet"/>
      <w:lvlText w:val="-"/>
      <w:lvlJc w:val="left"/>
      <w:pPr>
        <w:tabs>
          <w:tab w:val="num" w:pos="5102"/>
        </w:tabs>
        <w:ind w:left="5102" w:hanging="567"/>
      </w:pPr>
      <w:rPr>
        <w:rFonts w:hint="default" w:ascii="Symbol" w:hAnsi="Symbol"/>
      </w:rPr>
    </w:lvl>
    <w:lvl w:ilvl="7">
      <w:start w:val="1"/>
      <w:numFmt w:val="bullet"/>
      <w:lvlText w:val="-"/>
      <w:lvlJc w:val="left"/>
      <w:pPr>
        <w:tabs>
          <w:tab w:val="num" w:pos="5669"/>
        </w:tabs>
        <w:ind w:left="5669" w:hanging="567"/>
      </w:pPr>
      <w:rPr>
        <w:rFonts w:hint="default" w:ascii="Symbol" w:hAnsi="Symbol"/>
      </w:rPr>
    </w:lvl>
    <w:lvl w:ilvl="8">
      <w:start w:val="1"/>
      <w:numFmt w:val="bullet"/>
      <w:lvlText w:val="-"/>
      <w:lvlJc w:val="left"/>
      <w:pPr>
        <w:tabs>
          <w:tab w:val="num" w:pos="6236"/>
        </w:tabs>
        <w:ind w:left="6236" w:hanging="567"/>
      </w:pPr>
      <w:rPr>
        <w:rFonts w:hint="default" w:ascii="Symbol" w:hAnsi="Symbol"/>
      </w:rPr>
    </w:lvl>
  </w:abstractNum>
  <w:abstractNum w:abstractNumId="2" w15:restartNumberingAfterBreak="0">
    <w:nsid w:val="27BF7812"/>
    <w:multiLevelType w:val="multilevel"/>
    <w:tmpl w:val="F66E6718"/>
    <w:lvl w:ilvl="0">
      <w:start w:val="1"/>
      <w:numFmt w:val="lowerLetter"/>
      <w:pStyle w:val="EPOList-letters"/>
      <w:lvlText w:val="%1."/>
      <w:lvlJc w:val="left"/>
      <w:pPr>
        <w:tabs>
          <w:tab w:val="num" w:pos="397"/>
        </w:tabs>
        <w:ind w:left="397" w:hanging="397"/>
      </w:pPr>
      <w:rPr>
        <w:rFonts w:ascii="Arial" w:hAnsi="Arial" w:cs="Arial"/>
      </w:rPr>
    </w:lvl>
    <w:lvl w:ilvl="1">
      <w:start w:val="1"/>
      <w:numFmt w:val="lowerLetter"/>
      <w:pStyle w:val="Heading2"/>
      <w:lvlText w:val="%2."/>
      <w:lvlJc w:val="left"/>
      <w:pPr>
        <w:tabs>
          <w:tab w:val="num" w:pos="964"/>
        </w:tabs>
        <w:ind w:left="964" w:hanging="397"/>
      </w:pPr>
      <w:rPr>
        <w:rFonts w:ascii="Arial" w:hAnsi="Arial" w:cs="Arial"/>
      </w:rPr>
    </w:lvl>
    <w:lvl w:ilvl="2">
      <w:start w:val="1"/>
      <w:numFmt w:val="lowerLetter"/>
      <w:pStyle w:val="Heading3"/>
      <w:lvlText w:val="%3."/>
      <w:lvlJc w:val="left"/>
      <w:pPr>
        <w:tabs>
          <w:tab w:val="num" w:pos="1531"/>
        </w:tabs>
        <w:ind w:left="1531" w:hanging="397"/>
      </w:pPr>
      <w:rPr>
        <w:rFonts w:ascii="Arial" w:hAnsi="Arial" w:cs="Arial"/>
      </w:rPr>
    </w:lvl>
    <w:lvl w:ilvl="3">
      <w:start w:val="1"/>
      <w:numFmt w:val="lowerLetter"/>
      <w:pStyle w:val="Heading4"/>
      <w:lvlText w:val="%4."/>
      <w:lvlJc w:val="left"/>
      <w:pPr>
        <w:tabs>
          <w:tab w:val="num" w:pos="2098"/>
        </w:tabs>
        <w:ind w:left="2098" w:hanging="397"/>
      </w:pPr>
      <w:rPr>
        <w:rFonts w:ascii="Arial" w:hAnsi="Arial" w:cs="Arial"/>
      </w:rPr>
    </w:lvl>
    <w:lvl w:ilvl="4">
      <w:start w:val="1"/>
      <w:numFmt w:val="lowerLetter"/>
      <w:pStyle w:val="Heading5"/>
      <w:lvlText w:val="%5."/>
      <w:lvlJc w:val="left"/>
      <w:pPr>
        <w:tabs>
          <w:tab w:val="num" w:pos="2665"/>
        </w:tabs>
        <w:ind w:left="2665" w:hanging="397"/>
      </w:pPr>
      <w:rPr>
        <w:rFonts w:ascii="Arial" w:hAnsi="Arial" w:cs="Arial"/>
      </w:rPr>
    </w:lvl>
    <w:lvl w:ilvl="5">
      <w:start w:val="1"/>
      <w:numFmt w:val="lowerLetter"/>
      <w:pStyle w:val="Heading6"/>
      <w:lvlText w:val="%6."/>
      <w:lvlJc w:val="left"/>
      <w:pPr>
        <w:tabs>
          <w:tab w:val="num" w:pos="3231"/>
        </w:tabs>
        <w:ind w:left="3231" w:hanging="396"/>
      </w:pPr>
      <w:rPr>
        <w:rFonts w:ascii="Arial" w:hAnsi="Arial" w:cs="Arial"/>
      </w:rPr>
    </w:lvl>
    <w:lvl w:ilvl="6">
      <w:start w:val="1"/>
      <w:numFmt w:val="lowerLetter"/>
      <w:pStyle w:val="Heading7"/>
      <w:lvlText w:val="%7."/>
      <w:lvlJc w:val="left"/>
      <w:pPr>
        <w:tabs>
          <w:tab w:val="num" w:pos="3798"/>
        </w:tabs>
        <w:ind w:left="3798" w:hanging="396"/>
      </w:pPr>
      <w:rPr>
        <w:rFonts w:ascii="Arial" w:hAnsi="Arial" w:cs="Arial"/>
      </w:rPr>
    </w:lvl>
    <w:lvl w:ilvl="7">
      <w:start w:val="1"/>
      <w:numFmt w:val="lowerLetter"/>
      <w:pStyle w:val="Heading8"/>
      <w:lvlText w:val="%8."/>
      <w:lvlJc w:val="left"/>
      <w:pPr>
        <w:tabs>
          <w:tab w:val="num" w:pos="4365"/>
        </w:tabs>
        <w:ind w:left="4365" w:hanging="396"/>
      </w:pPr>
      <w:rPr>
        <w:rFonts w:ascii="Arial" w:hAnsi="Arial" w:cs="Arial"/>
      </w:rPr>
    </w:lvl>
    <w:lvl w:ilvl="8">
      <w:start w:val="1"/>
      <w:numFmt w:val="lowerLetter"/>
      <w:pStyle w:val="Heading9"/>
      <w:lvlText w:val="%9."/>
      <w:lvlJc w:val="left"/>
      <w:pPr>
        <w:tabs>
          <w:tab w:val="num" w:pos="4932"/>
        </w:tabs>
        <w:ind w:left="4932" w:hanging="397"/>
      </w:pPr>
      <w:rPr>
        <w:rFonts w:ascii="Arial" w:hAnsi="Arial" w:cs="Arial"/>
      </w:rPr>
    </w:lvl>
  </w:abstractNum>
  <w:abstractNum w:abstractNumId="3" w15:restartNumberingAfterBreak="0">
    <w:nsid w:val="2B7D0CB9"/>
    <w:multiLevelType w:val="multilevel"/>
    <w:tmpl w:val="C53048D8"/>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tabs>
          <w:tab w:val="num" w:pos="680"/>
        </w:tabs>
        <w:ind w:left="680" w:hanging="680"/>
      </w:pPr>
      <w:rPr>
        <w:rFonts w:ascii="Arial" w:hAnsi="Arial" w:cs="Arial"/>
      </w:rPr>
    </w:lvl>
    <w:lvl w:ilvl="2">
      <w:start w:val="1"/>
      <w:numFmt w:val="decimal"/>
      <w:lvlText w:val="%1.%2.%3."/>
      <w:lvlJc w:val="left"/>
      <w:pPr>
        <w:tabs>
          <w:tab w:val="num" w:pos="794"/>
        </w:tabs>
        <w:ind w:left="794" w:hanging="794"/>
      </w:pPr>
      <w:rPr>
        <w:rFonts w:ascii="Arial" w:hAnsi="Arial" w:cs="Aria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69951E9"/>
    <w:multiLevelType w:val="multilevel"/>
    <w:tmpl w:val="DAEC25E2"/>
    <w:lvl w:ilvl="0">
      <w:start w:val="1"/>
      <w:numFmt w:val="decimal"/>
      <w:lvlRestart w:val="0"/>
      <w:lvlText w:val="%1."/>
      <w:lvlJc w:val="left"/>
      <w:pPr>
        <w:tabs>
          <w:tab w:val="num" w:pos="567"/>
        </w:tabs>
        <w:ind w:left="567" w:hanging="567"/>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AE44F45"/>
    <w:multiLevelType w:val="multilevel"/>
    <w:tmpl w:val="6C86ACD6"/>
    <w:lvl w:ilvl="0">
      <w:start w:val="1"/>
      <w:numFmt w:val="bullet"/>
      <w:lvlRestart w:val="0"/>
      <w:pStyle w:val="EPOBullet1stlevel"/>
      <w:lvlText w:val="§"/>
      <w:lvlJc w:val="left"/>
      <w:pPr>
        <w:tabs>
          <w:tab w:val="num" w:pos="1134"/>
        </w:tabs>
        <w:ind w:left="1134" w:hanging="567"/>
      </w:pPr>
      <w:rPr>
        <w:rFonts w:hint="default" w:ascii="Wingdings" w:hAnsi="Wingdings" w:cs="Arial"/>
      </w:rPr>
    </w:lvl>
    <w:lvl w:ilvl="1">
      <w:start w:val="1"/>
      <w:numFmt w:val="bullet"/>
      <w:lvlText w:val="§"/>
      <w:lvlJc w:val="left"/>
      <w:pPr>
        <w:tabs>
          <w:tab w:val="num" w:pos="1701"/>
        </w:tabs>
        <w:ind w:left="1701" w:hanging="567"/>
      </w:pPr>
      <w:rPr>
        <w:rFonts w:hint="default" w:ascii="Wingdings" w:hAnsi="Wingdings" w:cs="Arial"/>
      </w:rPr>
    </w:lvl>
    <w:lvl w:ilvl="2">
      <w:start w:val="1"/>
      <w:numFmt w:val="bullet"/>
      <w:lvlText w:val="§"/>
      <w:lvlJc w:val="left"/>
      <w:pPr>
        <w:tabs>
          <w:tab w:val="num" w:pos="2268"/>
        </w:tabs>
        <w:ind w:left="2268" w:hanging="567"/>
      </w:pPr>
      <w:rPr>
        <w:rFonts w:hint="default" w:ascii="Wingdings" w:hAnsi="Wingdings" w:cs="Arial"/>
      </w:rPr>
    </w:lvl>
    <w:lvl w:ilvl="3">
      <w:start w:val="1"/>
      <w:numFmt w:val="bullet"/>
      <w:lvlText w:val="§"/>
      <w:lvlJc w:val="left"/>
      <w:pPr>
        <w:tabs>
          <w:tab w:val="num" w:pos="2835"/>
        </w:tabs>
        <w:ind w:left="2835" w:hanging="567"/>
      </w:pPr>
      <w:rPr>
        <w:rFonts w:hint="default" w:ascii="Wingdings" w:hAnsi="Wingdings" w:cs="Arial"/>
      </w:rPr>
    </w:lvl>
    <w:lvl w:ilvl="4">
      <w:start w:val="1"/>
      <w:numFmt w:val="bullet"/>
      <w:lvlText w:val="§"/>
      <w:lvlJc w:val="left"/>
      <w:pPr>
        <w:tabs>
          <w:tab w:val="num" w:pos="3402"/>
        </w:tabs>
        <w:ind w:left="3402" w:hanging="567"/>
      </w:pPr>
      <w:rPr>
        <w:rFonts w:hint="default" w:ascii="Wingdings" w:hAnsi="Wingdings"/>
      </w:rPr>
    </w:lvl>
    <w:lvl w:ilvl="5">
      <w:start w:val="1"/>
      <w:numFmt w:val="bullet"/>
      <w:lvlText w:val="§"/>
      <w:lvlJc w:val="left"/>
      <w:pPr>
        <w:tabs>
          <w:tab w:val="num" w:pos="3969"/>
        </w:tabs>
        <w:ind w:left="3969" w:hanging="567"/>
      </w:pPr>
      <w:rPr>
        <w:rFonts w:hint="default" w:ascii="Wingdings" w:hAnsi="Wingdings"/>
      </w:rPr>
    </w:lvl>
    <w:lvl w:ilvl="6">
      <w:start w:val="1"/>
      <w:numFmt w:val="bullet"/>
      <w:lvlText w:val="§"/>
      <w:lvlJc w:val="left"/>
      <w:pPr>
        <w:tabs>
          <w:tab w:val="num" w:pos="4535"/>
        </w:tabs>
        <w:ind w:left="4535" w:hanging="566"/>
      </w:pPr>
      <w:rPr>
        <w:rFonts w:hint="default" w:ascii="Wingdings" w:hAnsi="Wingdings"/>
      </w:rPr>
    </w:lvl>
    <w:lvl w:ilvl="7">
      <w:start w:val="1"/>
      <w:numFmt w:val="bullet"/>
      <w:lvlText w:val="§"/>
      <w:lvlJc w:val="left"/>
      <w:pPr>
        <w:tabs>
          <w:tab w:val="num" w:pos="5102"/>
        </w:tabs>
        <w:ind w:left="5102" w:hanging="567"/>
      </w:pPr>
      <w:rPr>
        <w:rFonts w:hint="default" w:ascii="Wingdings" w:hAnsi="Wingdings"/>
      </w:rPr>
    </w:lvl>
    <w:lvl w:ilvl="8">
      <w:start w:val="1"/>
      <w:numFmt w:val="bullet"/>
      <w:lvlText w:val="§"/>
      <w:lvlJc w:val="left"/>
      <w:pPr>
        <w:tabs>
          <w:tab w:val="num" w:pos="5669"/>
        </w:tabs>
        <w:ind w:left="5669" w:hanging="567"/>
      </w:pPr>
      <w:rPr>
        <w:rFonts w:hint="default" w:ascii="Wingdings" w:hAnsi="Wingdings"/>
      </w:rPr>
    </w:lvl>
  </w:abstractNum>
  <w:abstractNum w:abstractNumId="6" w15:restartNumberingAfterBreak="0">
    <w:nsid w:val="4FEB2573"/>
    <w:multiLevelType w:val="multilevel"/>
    <w:tmpl w:val="BA40E00A"/>
    <w:lvl w:ilvl="0">
      <w:start w:val="1"/>
      <w:numFmt w:val="decimal"/>
      <w:pStyle w:val="EPOAnnex"/>
      <w:lvlText w:val="Annex %1"/>
      <w:lvlJc w:val="left"/>
      <w:pPr>
        <w:tabs>
          <w:tab w:val="num" w:pos="567"/>
        </w:tabs>
        <w:ind w:left="567" w:hanging="567"/>
      </w:pPr>
      <w:rPr>
        <w:rFonts w:ascii="Arial" w:hAnsi="Arial" w:cs="Arial"/>
      </w:rPr>
    </w:lvl>
    <w:lvl w:ilvl="1">
      <w:start w:val="1"/>
      <w:numFmt w:val="decimal"/>
      <w:lvlText w:val="Annex %2"/>
      <w:lvlJc w:val="left"/>
      <w:pPr>
        <w:tabs>
          <w:tab w:val="num" w:pos="1134"/>
        </w:tabs>
        <w:ind w:left="1134" w:hanging="567"/>
      </w:pPr>
      <w:rPr>
        <w:rFonts w:ascii="Arial" w:hAnsi="Arial" w:cs="Arial"/>
      </w:rPr>
    </w:lvl>
    <w:lvl w:ilvl="2">
      <w:start w:val="1"/>
      <w:numFmt w:val="decimal"/>
      <w:lvlText w:val="Annex %3"/>
      <w:lvlJc w:val="left"/>
      <w:pPr>
        <w:tabs>
          <w:tab w:val="num" w:pos="1701"/>
        </w:tabs>
        <w:ind w:left="1701" w:hanging="567"/>
      </w:pPr>
      <w:rPr>
        <w:rFonts w:ascii="Arial" w:hAnsi="Arial" w:cs="Arial"/>
      </w:rPr>
    </w:lvl>
    <w:lvl w:ilvl="3">
      <w:start w:val="1"/>
      <w:numFmt w:val="decimal"/>
      <w:lvlText w:val="Annex %4"/>
      <w:lvlJc w:val="left"/>
      <w:pPr>
        <w:tabs>
          <w:tab w:val="num" w:pos="2268"/>
        </w:tabs>
        <w:ind w:left="2268" w:hanging="567"/>
      </w:pPr>
      <w:rPr>
        <w:rFonts w:ascii="Arial" w:hAnsi="Arial" w:cs="Arial"/>
      </w:rPr>
    </w:lvl>
    <w:lvl w:ilvl="4">
      <w:start w:val="1"/>
      <w:numFmt w:val="decimal"/>
      <w:lvlText w:val="Annex %5"/>
      <w:lvlJc w:val="left"/>
      <w:pPr>
        <w:tabs>
          <w:tab w:val="num" w:pos="2835"/>
        </w:tabs>
        <w:ind w:left="2835" w:hanging="567"/>
      </w:pPr>
      <w:rPr>
        <w:rFonts w:ascii="Arial" w:hAnsi="Arial" w:cs="Arial"/>
      </w:rPr>
    </w:lvl>
    <w:lvl w:ilvl="5">
      <w:start w:val="1"/>
      <w:numFmt w:val="decimal"/>
      <w:lvlText w:val="Annex %6"/>
      <w:lvlJc w:val="left"/>
      <w:pPr>
        <w:tabs>
          <w:tab w:val="num" w:pos="3402"/>
        </w:tabs>
        <w:ind w:left="3402" w:hanging="567"/>
      </w:pPr>
      <w:rPr>
        <w:rFonts w:ascii="Arial" w:hAnsi="Arial" w:cs="Arial"/>
      </w:rPr>
    </w:lvl>
    <w:lvl w:ilvl="6">
      <w:start w:val="1"/>
      <w:numFmt w:val="decimal"/>
      <w:lvlText w:val="Annex %7"/>
      <w:lvlJc w:val="left"/>
      <w:pPr>
        <w:tabs>
          <w:tab w:val="num" w:pos="3969"/>
        </w:tabs>
        <w:ind w:left="3969" w:hanging="567"/>
      </w:pPr>
      <w:rPr>
        <w:rFonts w:ascii="Arial" w:hAnsi="Arial" w:cs="Arial"/>
      </w:rPr>
    </w:lvl>
    <w:lvl w:ilvl="7">
      <w:start w:val="1"/>
      <w:numFmt w:val="decimal"/>
      <w:lvlText w:val="Annex %8"/>
      <w:lvlJc w:val="left"/>
      <w:pPr>
        <w:tabs>
          <w:tab w:val="num" w:pos="4535"/>
        </w:tabs>
        <w:ind w:left="4535" w:hanging="566"/>
      </w:pPr>
      <w:rPr>
        <w:rFonts w:ascii="Arial" w:hAnsi="Arial" w:cs="Arial"/>
      </w:rPr>
    </w:lvl>
    <w:lvl w:ilvl="8">
      <w:start w:val="1"/>
      <w:numFmt w:val="decimal"/>
      <w:lvlText w:val="Annex %9"/>
      <w:lvlJc w:val="left"/>
      <w:pPr>
        <w:tabs>
          <w:tab w:val="num" w:pos="5102"/>
        </w:tabs>
        <w:ind w:left="5102" w:hanging="567"/>
      </w:pPr>
      <w:rPr>
        <w:rFonts w:ascii="Arial" w:hAnsi="Arial" w:cs="Arial"/>
      </w:rPr>
    </w:lvl>
  </w:abstractNum>
  <w:abstractNum w:abstractNumId="7" w15:restartNumberingAfterBreak="0">
    <w:nsid w:val="5D777A76"/>
    <w:multiLevelType w:val="hybridMultilevel"/>
    <w:tmpl w:val="FFFFFFFF"/>
    <w:lvl w:ilvl="0" w:tplc="0F429B64">
      <w:start w:val="1"/>
      <w:numFmt w:val="bullet"/>
      <w:lvlText w:val="●"/>
      <w:lvlJc w:val="left"/>
      <w:pPr>
        <w:ind w:left="720" w:hanging="360"/>
      </w:pPr>
      <w:rPr>
        <w:rFonts w:hint="default" w:ascii="Noto Sans Symbols" w:hAnsi="Noto Sans Symbols"/>
      </w:rPr>
    </w:lvl>
    <w:lvl w:ilvl="1" w:tplc="B0DECC58">
      <w:start w:val="1"/>
      <w:numFmt w:val="bullet"/>
      <w:lvlText w:val="o"/>
      <w:lvlJc w:val="left"/>
      <w:pPr>
        <w:ind w:left="1440" w:hanging="360"/>
      </w:pPr>
      <w:rPr>
        <w:rFonts w:hint="default" w:ascii="Courier New" w:hAnsi="Courier New"/>
      </w:rPr>
    </w:lvl>
    <w:lvl w:ilvl="2" w:tplc="F8E2906E">
      <w:start w:val="1"/>
      <w:numFmt w:val="bullet"/>
      <w:lvlText w:val="▪"/>
      <w:lvlJc w:val="left"/>
      <w:pPr>
        <w:ind w:left="2160" w:hanging="360"/>
      </w:pPr>
      <w:rPr>
        <w:rFonts w:hint="default" w:ascii="Noto Sans Symbols" w:hAnsi="Noto Sans Symbols"/>
      </w:rPr>
    </w:lvl>
    <w:lvl w:ilvl="3" w:tplc="78B0997C">
      <w:start w:val="1"/>
      <w:numFmt w:val="bullet"/>
      <w:lvlText w:val="●"/>
      <w:lvlJc w:val="left"/>
      <w:pPr>
        <w:ind w:left="2880" w:hanging="360"/>
      </w:pPr>
      <w:rPr>
        <w:rFonts w:hint="default" w:ascii="Noto Sans Symbols" w:hAnsi="Noto Sans Symbols"/>
      </w:rPr>
    </w:lvl>
    <w:lvl w:ilvl="4" w:tplc="CE1203CC">
      <w:start w:val="1"/>
      <w:numFmt w:val="bullet"/>
      <w:lvlText w:val="o"/>
      <w:lvlJc w:val="left"/>
      <w:pPr>
        <w:ind w:left="3600" w:hanging="360"/>
      </w:pPr>
      <w:rPr>
        <w:rFonts w:hint="default" w:ascii="Courier New" w:hAnsi="Courier New"/>
      </w:rPr>
    </w:lvl>
    <w:lvl w:ilvl="5" w:tplc="1CD0CE38">
      <w:start w:val="1"/>
      <w:numFmt w:val="bullet"/>
      <w:lvlText w:val="▪"/>
      <w:lvlJc w:val="left"/>
      <w:pPr>
        <w:ind w:left="4320" w:hanging="360"/>
      </w:pPr>
      <w:rPr>
        <w:rFonts w:hint="default" w:ascii="Noto Sans Symbols" w:hAnsi="Noto Sans Symbols"/>
      </w:rPr>
    </w:lvl>
    <w:lvl w:ilvl="6" w:tplc="B85E759A">
      <w:start w:val="1"/>
      <w:numFmt w:val="bullet"/>
      <w:lvlText w:val="●"/>
      <w:lvlJc w:val="left"/>
      <w:pPr>
        <w:ind w:left="5040" w:hanging="360"/>
      </w:pPr>
      <w:rPr>
        <w:rFonts w:hint="default" w:ascii="Noto Sans Symbols" w:hAnsi="Noto Sans Symbols"/>
      </w:rPr>
    </w:lvl>
    <w:lvl w:ilvl="7" w:tplc="0FB2A4BA">
      <w:start w:val="1"/>
      <w:numFmt w:val="bullet"/>
      <w:lvlText w:val="o"/>
      <w:lvlJc w:val="left"/>
      <w:pPr>
        <w:ind w:left="5760" w:hanging="360"/>
      </w:pPr>
      <w:rPr>
        <w:rFonts w:hint="default" w:ascii="Courier New" w:hAnsi="Courier New"/>
      </w:rPr>
    </w:lvl>
    <w:lvl w:ilvl="8" w:tplc="EE00F44A">
      <w:start w:val="1"/>
      <w:numFmt w:val="bullet"/>
      <w:lvlText w:val="▪"/>
      <w:lvlJc w:val="left"/>
      <w:pPr>
        <w:ind w:left="6480" w:hanging="360"/>
      </w:pPr>
      <w:rPr>
        <w:rFonts w:hint="default" w:ascii="Noto Sans Symbols" w:hAnsi="Noto Sans Symbols"/>
      </w:rPr>
    </w:lvl>
  </w:abstractNum>
  <w:abstractNum w:abstractNumId="8" w15:restartNumberingAfterBreak="0">
    <w:nsid w:val="64636361"/>
    <w:multiLevelType w:val="multilevel"/>
    <w:tmpl w:val="35B49D5A"/>
    <w:lvl w:ilvl="0">
      <w:start w:val="1"/>
      <w:numFmt w:val="decimal"/>
      <w:lvlRestart w:val="0"/>
      <w:pStyle w:val="EPOHeading1"/>
      <w:lvlText w:val="%1."/>
      <w:lvlJc w:val="left"/>
      <w:pPr>
        <w:tabs>
          <w:tab w:val="num" w:pos="567"/>
        </w:tabs>
        <w:ind w:left="567" w:hanging="567"/>
      </w:pPr>
      <w:rPr>
        <w:rFonts w:ascii="Arial" w:hAnsi="Arial" w:cs="Arial"/>
      </w:rPr>
    </w:lvl>
    <w:lvl w:ilvl="1">
      <w:start w:val="1"/>
      <w:numFmt w:val="decimal"/>
      <w:pStyle w:val="EPOHeading2"/>
      <w:lvlText w:val="%1.%2."/>
      <w:lvlJc w:val="left"/>
      <w:pPr>
        <w:tabs>
          <w:tab w:val="num" w:pos="680"/>
        </w:tabs>
        <w:ind w:left="680" w:hanging="680"/>
      </w:pPr>
      <w:rPr>
        <w:rFonts w:ascii="Arial" w:hAnsi="Arial" w:cs="Arial"/>
      </w:rPr>
    </w:lvl>
    <w:lvl w:ilvl="2">
      <w:start w:val="1"/>
      <w:numFmt w:val="decimal"/>
      <w:pStyle w:val="EPOHeading3"/>
      <w:lvlText w:val="%1.%2.%3."/>
      <w:lvlJc w:val="left"/>
      <w:pPr>
        <w:tabs>
          <w:tab w:val="num" w:pos="794"/>
        </w:tabs>
        <w:ind w:left="794" w:hanging="794"/>
      </w:pPr>
      <w:rPr>
        <w:rFonts w:ascii="Arial" w:hAnsi="Arial" w:cs="Arial"/>
      </w:rPr>
    </w:lvl>
    <w:lvl w:ilvl="3">
      <w:start w:val="1"/>
      <w:numFmt w:val="decimal"/>
      <w:pStyle w:val="EPOHeading4"/>
      <w:lvlText w:val="%1.%2.%3.%4."/>
      <w:lvlJc w:val="left"/>
      <w:pPr>
        <w:tabs>
          <w:tab w:val="num" w:pos="964"/>
        </w:tabs>
        <w:ind w:left="964" w:hanging="964"/>
      </w:pPr>
      <w:rPr>
        <w:rFonts w:ascii="Arial" w:hAnsi="Arial" w:cs="Arial"/>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E474646"/>
    <w:multiLevelType w:val="multilevel"/>
    <w:tmpl w:val="AD6A2A88"/>
    <w:lvl w:ilvl="0">
      <w:start w:val="1"/>
      <w:numFmt w:val="decimal"/>
      <w:pStyle w:val="EPOList-numbers"/>
      <w:lvlText w:val="%1."/>
      <w:lvlJc w:val="left"/>
      <w:pPr>
        <w:tabs>
          <w:tab w:val="num" w:pos="397"/>
        </w:tabs>
        <w:ind w:left="397" w:hanging="397"/>
      </w:pPr>
      <w:rPr>
        <w:rFonts w:ascii="Arial" w:hAnsi="Arial" w:cs="Arial"/>
      </w:rPr>
    </w:lvl>
    <w:lvl w:ilvl="1">
      <w:start w:val="1"/>
      <w:numFmt w:val="decimal"/>
      <w:lvlText w:val="%2."/>
      <w:lvlJc w:val="left"/>
      <w:pPr>
        <w:tabs>
          <w:tab w:val="num" w:pos="964"/>
        </w:tabs>
        <w:ind w:left="964" w:hanging="397"/>
      </w:pPr>
      <w:rPr>
        <w:rFonts w:ascii="Arial" w:hAnsi="Arial" w:cs="Arial"/>
      </w:rPr>
    </w:lvl>
    <w:lvl w:ilvl="2">
      <w:start w:val="1"/>
      <w:numFmt w:val="decimal"/>
      <w:lvlText w:val="%3."/>
      <w:lvlJc w:val="left"/>
      <w:pPr>
        <w:tabs>
          <w:tab w:val="num" w:pos="1531"/>
        </w:tabs>
        <w:ind w:left="1531" w:hanging="397"/>
      </w:pPr>
      <w:rPr>
        <w:rFonts w:ascii="Arial" w:hAnsi="Arial" w:cs="Arial"/>
      </w:rPr>
    </w:lvl>
    <w:lvl w:ilvl="3">
      <w:start w:val="1"/>
      <w:numFmt w:val="decimal"/>
      <w:lvlText w:val="%4."/>
      <w:lvlJc w:val="left"/>
      <w:pPr>
        <w:tabs>
          <w:tab w:val="num" w:pos="2098"/>
        </w:tabs>
        <w:ind w:left="2098" w:hanging="397"/>
      </w:pPr>
      <w:rPr>
        <w:rFonts w:ascii="Arial" w:hAnsi="Arial" w:cs="Arial"/>
      </w:rPr>
    </w:lvl>
    <w:lvl w:ilvl="4">
      <w:start w:val="1"/>
      <w:numFmt w:val="decimal"/>
      <w:lvlText w:val="%5."/>
      <w:lvlJc w:val="left"/>
      <w:pPr>
        <w:tabs>
          <w:tab w:val="num" w:pos="2665"/>
        </w:tabs>
        <w:ind w:left="2665" w:hanging="397"/>
      </w:pPr>
      <w:rPr>
        <w:rFonts w:ascii="Arial" w:hAnsi="Arial" w:cs="Arial"/>
      </w:rPr>
    </w:lvl>
    <w:lvl w:ilvl="5">
      <w:start w:val="1"/>
      <w:numFmt w:val="decimal"/>
      <w:lvlText w:val="%6."/>
      <w:lvlJc w:val="left"/>
      <w:pPr>
        <w:tabs>
          <w:tab w:val="num" w:pos="3231"/>
        </w:tabs>
        <w:ind w:left="3231" w:hanging="396"/>
      </w:pPr>
      <w:rPr>
        <w:rFonts w:ascii="Arial" w:hAnsi="Arial" w:cs="Arial"/>
      </w:rPr>
    </w:lvl>
    <w:lvl w:ilvl="6">
      <w:start w:val="1"/>
      <w:numFmt w:val="decimal"/>
      <w:lvlText w:val="%7."/>
      <w:lvlJc w:val="left"/>
      <w:pPr>
        <w:tabs>
          <w:tab w:val="num" w:pos="3798"/>
        </w:tabs>
        <w:ind w:left="3798" w:hanging="396"/>
      </w:pPr>
      <w:rPr>
        <w:rFonts w:ascii="Arial" w:hAnsi="Arial" w:cs="Arial"/>
      </w:rPr>
    </w:lvl>
    <w:lvl w:ilvl="7">
      <w:start w:val="1"/>
      <w:numFmt w:val="decimal"/>
      <w:lvlText w:val="%8."/>
      <w:lvlJc w:val="left"/>
      <w:pPr>
        <w:tabs>
          <w:tab w:val="num" w:pos="4365"/>
        </w:tabs>
        <w:ind w:left="4365" w:hanging="396"/>
      </w:pPr>
      <w:rPr>
        <w:rFonts w:ascii="Arial" w:hAnsi="Arial" w:cs="Arial"/>
      </w:rPr>
    </w:lvl>
    <w:lvl w:ilvl="8">
      <w:start w:val="1"/>
      <w:numFmt w:val="decimal"/>
      <w:lvlText w:val="%9."/>
      <w:lvlJc w:val="left"/>
      <w:pPr>
        <w:tabs>
          <w:tab w:val="num" w:pos="4932"/>
        </w:tabs>
        <w:ind w:left="4932" w:hanging="397"/>
      </w:pPr>
      <w:rPr>
        <w:rFonts w:ascii="Arial" w:hAnsi="Arial" w:cs="Arial"/>
      </w:rPr>
    </w:lvl>
  </w:abstractNum>
  <w:num w:numId="1" w16cid:durableId="178742227">
    <w:abstractNumId w:val="7"/>
  </w:num>
  <w:num w:numId="2" w16cid:durableId="973365112">
    <w:abstractNumId w:val="6"/>
  </w:num>
  <w:num w:numId="3" w16cid:durableId="401872754">
    <w:abstractNumId w:val="4"/>
  </w:num>
  <w:num w:numId="4" w16cid:durableId="1224947795">
    <w:abstractNumId w:val="0"/>
  </w:num>
  <w:num w:numId="5" w16cid:durableId="1836652522">
    <w:abstractNumId w:val="3"/>
  </w:num>
  <w:num w:numId="6" w16cid:durableId="430126495">
    <w:abstractNumId w:val="8"/>
  </w:num>
  <w:num w:numId="7" w16cid:durableId="341980608">
    <w:abstractNumId w:val="5"/>
  </w:num>
  <w:num w:numId="8" w16cid:durableId="1945308470">
    <w:abstractNumId w:val="1"/>
  </w:num>
  <w:num w:numId="9" w16cid:durableId="425076521">
    <w:abstractNumId w:val="9"/>
  </w:num>
  <w:num w:numId="10" w16cid:durableId="10112960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0BD2"/>
    <w:rsid w:val="00003EE0"/>
    <w:rsid w:val="000647F9"/>
    <w:rsid w:val="000C58BD"/>
    <w:rsid w:val="000C6A57"/>
    <w:rsid w:val="00120CB4"/>
    <w:rsid w:val="001765D1"/>
    <w:rsid w:val="001D2B2C"/>
    <w:rsid w:val="001E7575"/>
    <w:rsid w:val="00221B24"/>
    <w:rsid w:val="00275045"/>
    <w:rsid w:val="002B06C9"/>
    <w:rsid w:val="002D4C2D"/>
    <w:rsid w:val="00323816"/>
    <w:rsid w:val="003B0271"/>
    <w:rsid w:val="00413E5B"/>
    <w:rsid w:val="004209E7"/>
    <w:rsid w:val="00420BD2"/>
    <w:rsid w:val="00665A00"/>
    <w:rsid w:val="008CE3D2"/>
    <w:rsid w:val="008D4516"/>
    <w:rsid w:val="00922275"/>
    <w:rsid w:val="009B6980"/>
    <w:rsid w:val="00A00B84"/>
    <w:rsid w:val="00B2D833"/>
    <w:rsid w:val="00BB2F06"/>
    <w:rsid w:val="00C00584"/>
    <w:rsid w:val="00C2052C"/>
    <w:rsid w:val="00C3074C"/>
    <w:rsid w:val="00C63D16"/>
    <w:rsid w:val="00C973D2"/>
    <w:rsid w:val="00CD736E"/>
    <w:rsid w:val="00E065A7"/>
    <w:rsid w:val="00F34322"/>
    <w:rsid w:val="00F3783D"/>
    <w:rsid w:val="00F46615"/>
    <w:rsid w:val="00FA3135"/>
    <w:rsid w:val="0160D9F5"/>
    <w:rsid w:val="01A305FB"/>
    <w:rsid w:val="01CD9F12"/>
    <w:rsid w:val="024074F8"/>
    <w:rsid w:val="046410C7"/>
    <w:rsid w:val="04B84DC7"/>
    <w:rsid w:val="0594ECF1"/>
    <w:rsid w:val="0597ED5B"/>
    <w:rsid w:val="067D4834"/>
    <w:rsid w:val="071C4429"/>
    <w:rsid w:val="071EE61F"/>
    <w:rsid w:val="073A478C"/>
    <w:rsid w:val="0745094B"/>
    <w:rsid w:val="077D1D89"/>
    <w:rsid w:val="081AC4E4"/>
    <w:rsid w:val="08AD5AC2"/>
    <w:rsid w:val="08B78F8A"/>
    <w:rsid w:val="0A681237"/>
    <w:rsid w:val="0B940215"/>
    <w:rsid w:val="0C1426E5"/>
    <w:rsid w:val="0CE735F3"/>
    <w:rsid w:val="0DB1A65B"/>
    <w:rsid w:val="0DBEE485"/>
    <w:rsid w:val="0E74B656"/>
    <w:rsid w:val="0EE636CF"/>
    <w:rsid w:val="0EE648C1"/>
    <w:rsid w:val="0EEA59DD"/>
    <w:rsid w:val="0EEFC6BF"/>
    <w:rsid w:val="0F5C2399"/>
    <w:rsid w:val="0FDD9396"/>
    <w:rsid w:val="101A2564"/>
    <w:rsid w:val="102BBD14"/>
    <w:rsid w:val="10363A98"/>
    <w:rsid w:val="11203E11"/>
    <w:rsid w:val="11E997E0"/>
    <w:rsid w:val="11F2CF80"/>
    <w:rsid w:val="125F203A"/>
    <w:rsid w:val="148CA576"/>
    <w:rsid w:val="14D78682"/>
    <w:rsid w:val="14E9A504"/>
    <w:rsid w:val="14F7602D"/>
    <w:rsid w:val="15AB49E5"/>
    <w:rsid w:val="16DE90F2"/>
    <w:rsid w:val="172C2357"/>
    <w:rsid w:val="173A5A99"/>
    <w:rsid w:val="17F49ADA"/>
    <w:rsid w:val="1859DADE"/>
    <w:rsid w:val="1937A7ED"/>
    <w:rsid w:val="194F550D"/>
    <w:rsid w:val="19C2FCDE"/>
    <w:rsid w:val="1A07B5E5"/>
    <w:rsid w:val="1A63C9BE"/>
    <w:rsid w:val="1A684E87"/>
    <w:rsid w:val="1A73CB54"/>
    <w:rsid w:val="1A9380A8"/>
    <w:rsid w:val="1AAB180A"/>
    <w:rsid w:val="1B4ED134"/>
    <w:rsid w:val="1B6F26FD"/>
    <w:rsid w:val="1C0B8B21"/>
    <w:rsid w:val="1C3D2006"/>
    <w:rsid w:val="1C8AFF78"/>
    <w:rsid w:val="1CD89F35"/>
    <w:rsid w:val="1D3DA7BA"/>
    <w:rsid w:val="1D55D4CB"/>
    <w:rsid w:val="1D5FD27D"/>
    <w:rsid w:val="1E153A3A"/>
    <w:rsid w:val="1E880B03"/>
    <w:rsid w:val="1E9C7C79"/>
    <w:rsid w:val="1FA42070"/>
    <w:rsid w:val="1FE8BE87"/>
    <w:rsid w:val="2075487C"/>
    <w:rsid w:val="20825E17"/>
    <w:rsid w:val="20B92F23"/>
    <w:rsid w:val="21F74513"/>
    <w:rsid w:val="2220DF15"/>
    <w:rsid w:val="224C695C"/>
    <w:rsid w:val="22B666FC"/>
    <w:rsid w:val="22DB18ED"/>
    <w:rsid w:val="23280BF5"/>
    <w:rsid w:val="235349A0"/>
    <w:rsid w:val="237A521D"/>
    <w:rsid w:val="23899308"/>
    <w:rsid w:val="23ACE93E"/>
    <w:rsid w:val="23F5A58E"/>
    <w:rsid w:val="2414E6C1"/>
    <w:rsid w:val="2437F4B4"/>
    <w:rsid w:val="2488AEC8"/>
    <w:rsid w:val="24FEE2AE"/>
    <w:rsid w:val="250B81D8"/>
    <w:rsid w:val="2529EA67"/>
    <w:rsid w:val="2530D205"/>
    <w:rsid w:val="26A61AB8"/>
    <w:rsid w:val="26B6858A"/>
    <w:rsid w:val="26BB4800"/>
    <w:rsid w:val="26ED6A8D"/>
    <w:rsid w:val="2771AFDE"/>
    <w:rsid w:val="285FEAC2"/>
    <w:rsid w:val="28D7128A"/>
    <w:rsid w:val="29A1B29B"/>
    <w:rsid w:val="29DA44F9"/>
    <w:rsid w:val="29EE2C0E"/>
    <w:rsid w:val="29F594B6"/>
    <w:rsid w:val="2A7D319B"/>
    <w:rsid w:val="2A9A0F47"/>
    <w:rsid w:val="2ABCE790"/>
    <w:rsid w:val="2AC7780D"/>
    <w:rsid w:val="2AD5EEC0"/>
    <w:rsid w:val="2AF3B1BF"/>
    <w:rsid w:val="2B096BE8"/>
    <w:rsid w:val="2B650BC6"/>
    <w:rsid w:val="2B76FAB4"/>
    <w:rsid w:val="2BDA2345"/>
    <w:rsid w:val="2C30D4A4"/>
    <w:rsid w:val="2C68D2D6"/>
    <w:rsid w:val="2D0D4A7F"/>
    <w:rsid w:val="2D4A5604"/>
    <w:rsid w:val="2DAE940B"/>
    <w:rsid w:val="2E2B530F"/>
    <w:rsid w:val="2E39980B"/>
    <w:rsid w:val="2F2F8CC0"/>
    <w:rsid w:val="2F45F6A0"/>
    <w:rsid w:val="2FA07398"/>
    <w:rsid w:val="2FB156AA"/>
    <w:rsid w:val="2FCA53E3"/>
    <w:rsid w:val="30AE072D"/>
    <w:rsid w:val="31117627"/>
    <w:rsid w:val="311206F3"/>
    <w:rsid w:val="31C7FC60"/>
    <w:rsid w:val="32106E18"/>
    <w:rsid w:val="32AED118"/>
    <w:rsid w:val="337765A7"/>
    <w:rsid w:val="33FA69A4"/>
    <w:rsid w:val="341EB3B0"/>
    <w:rsid w:val="343F7F03"/>
    <w:rsid w:val="34F930C4"/>
    <w:rsid w:val="3515182D"/>
    <w:rsid w:val="355F9F38"/>
    <w:rsid w:val="356F73EA"/>
    <w:rsid w:val="363D7CE7"/>
    <w:rsid w:val="36C55328"/>
    <w:rsid w:val="36E9A8B7"/>
    <w:rsid w:val="36F16729"/>
    <w:rsid w:val="3756F5BD"/>
    <w:rsid w:val="376F32A5"/>
    <w:rsid w:val="38243513"/>
    <w:rsid w:val="3874D1BB"/>
    <w:rsid w:val="390729D6"/>
    <w:rsid w:val="391E129C"/>
    <w:rsid w:val="39F61CE0"/>
    <w:rsid w:val="3A60550C"/>
    <w:rsid w:val="3A73116B"/>
    <w:rsid w:val="3BC601C1"/>
    <w:rsid w:val="3C76AB01"/>
    <w:rsid w:val="3CC2CEFF"/>
    <w:rsid w:val="3CE2D0A8"/>
    <w:rsid w:val="3CE40A02"/>
    <w:rsid w:val="3D0131FB"/>
    <w:rsid w:val="3E51812F"/>
    <w:rsid w:val="3F92B754"/>
    <w:rsid w:val="3F955568"/>
    <w:rsid w:val="3FE843AB"/>
    <w:rsid w:val="3FF7D4C3"/>
    <w:rsid w:val="4031F7AB"/>
    <w:rsid w:val="4080770B"/>
    <w:rsid w:val="40E9BAC6"/>
    <w:rsid w:val="40F9E2A9"/>
    <w:rsid w:val="414A83C6"/>
    <w:rsid w:val="41A3B73D"/>
    <w:rsid w:val="41BDF11E"/>
    <w:rsid w:val="421CC9EE"/>
    <w:rsid w:val="4273F281"/>
    <w:rsid w:val="43641530"/>
    <w:rsid w:val="43AE6CF3"/>
    <w:rsid w:val="4403B93F"/>
    <w:rsid w:val="444DBFFB"/>
    <w:rsid w:val="456237F2"/>
    <w:rsid w:val="4563C65C"/>
    <w:rsid w:val="45970C68"/>
    <w:rsid w:val="45E30A1A"/>
    <w:rsid w:val="4613C33B"/>
    <w:rsid w:val="464DA7F2"/>
    <w:rsid w:val="466CC542"/>
    <w:rsid w:val="46D2FBD3"/>
    <w:rsid w:val="474BB98C"/>
    <w:rsid w:val="4750987A"/>
    <w:rsid w:val="48EFD5D2"/>
    <w:rsid w:val="4947CEB4"/>
    <w:rsid w:val="4A18A2CC"/>
    <w:rsid w:val="4A51A51F"/>
    <w:rsid w:val="4B04573C"/>
    <w:rsid w:val="4B4DD84E"/>
    <w:rsid w:val="4B5D2F14"/>
    <w:rsid w:val="4BAEF124"/>
    <w:rsid w:val="4C72A817"/>
    <w:rsid w:val="4C85AA6A"/>
    <w:rsid w:val="4C8770F4"/>
    <w:rsid w:val="4D765BB9"/>
    <w:rsid w:val="4D8B61C8"/>
    <w:rsid w:val="4DBA3FA4"/>
    <w:rsid w:val="4DC4E92E"/>
    <w:rsid w:val="4ED2B10D"/>
    <w:rsid w:val="4F9205CF"/>
    <w:rsid w:val="503E076E"/>
    <w:rsid w:val="512A408F"/>
    <w:rsid w:val="514735D1"/>
    <w:rsid w:val="51753246"/>
    <w:rsid w:val="52B678E7"/>
    <w:rsid w:val="52E13540"/>
    <w:rsid w:val="530776CD"/>
    <w:rsid w:val="535CB0B5"/>
    <w:rsid w:val="53A2CF41"/>
    <w:rsid w:val="5409D3FA"/>
    <w:rsid w:val="54219E98"/>
    <w:rsid w:val="5438A92D"/>
    <w:rsid w:val="544576B2"/>
    <w:rsid w:val="544CB80E"/>
    <w:rsid w:val="55D98B19"/>
    <w:rsid w:val="56002183"/>
    <w:rsid w:val="5686AAEB"/>
    <w:rsid w:val="5737AD29"/>
    <w:rsid w:val="5788DDE8"/>
    <w:rsid w:val="57A96B8D"/>
    <w:rsid w:val="57E116F7"/>
    <w:rsid w:val="580CDE3B"/>
    <w:rsid w:val="5878C563"/>
    <w:rsid w:val="5B845F29"/>
    <w:rsid w:val="5C19708B"/>
    <w:rsid w:val="5C649ED1"/>
    <w:rsid w:val="5D19DA36"/>
    <w:rsid w:val="5D626019"/>
    <w:rsid w:val="5DAE289D"/>
    <w:rsid w:val="5E050425"/>
    <w:rsid w:val="5F1D4564"/>
    <w:rsid w:val="5F2207CE"/>
    <w:rsid w:val="5F60F57D"/>
    <w:rsid w:val="600A5593"/>
    <w:rsid w:val="60140002"/>
    <w:rsid w:val="60B26DE6"/>
    <w:rsid w:val="60D73AD8"/>
    <w:rsid w:val="611697D1"/>
    <w:rsid w:val="61B1B160"/>
    <w:rsid w:val="627CCF2C"/>
    <w:rsid w:val="630B51A5"/>
    <w:rsid w:val="638D1FC5"/>
    <w:rsid w:val="647B59F0"/>
    <w:rsid w:val="64B1EC10"/>
    <w:rsid w:val="64CD4F4F"/>
    <w:rsid w:val="65402D42"/>
    <w:rsid w:val="660ED510"/>
    <w:rsid w:val="668DAF93"/>
    <w:rsid w:val="6699CA5B"/>
    <w:rsid w:val="66D6396D"/>
    <w:rsid w:val="678DCF79"/>
    <w:rsid w:val="6795021A"/>
    <w:rsid w:val="67AD7700"/>
    <w:rsid w:val="67DF90C7"/>
    <w:rsid w:val="68372159"/>
    <w:rsid w:val="6916AF0F"/>
    <w:rsid w:val="69396681"/>
    <w:rsid w:val="6950D4CE"/>
    <w:rsid w:val="69B18B3F"/>
    <w:rsid w:val="69D9505C"/>
    <w:rsid w:val="6A402A7C"/>
    <w:rsid w:val="6A81910B"/>
    <w:rsid w:val="6AA5DB14"/>
    <w:rsid w:val="6AFFD8BB"/>
    <w:rsid w:val="6B2A0D36"/>
    <w:rsid w:val="6BF55075"/>
    <w:rsid w:val="6C18B43F"/>
    <w:rsid w:val="6CA79C5D"/>
    <w:rsid w:val="6CE1A4BF"/>
    <w:rsid w:val="6DB22104"/>
    <w:rsid w:val="6DD248BB"/>
    <w:rsid w:val="6E8238C4"/>
    <w:rsid w:val="6E948499"/>
    <w:rsid w:val="6ED33D9F"/>
    <w:rsid w:val="6F1FD01D"/>
    <w:rsid w:val="6F32D285"/>
    <w:rsid w:val="6F88AD30"/>
    <w:rsid w:val="6FEE5874"/>
    <w:rsid w:val="70501CAB"/>
    <w:rsid w:val="7120C4D2"/>
    <w:rsid w:val="7131BFA1"/>
    <w:rsid w:val="72DD3721"/>
    <w:rsid w:val="72FB72EB"/>
    <w:rsid w:val="7355CD34"/>
    <w:rsid w:val="740C1881"/>
    <w:rsid w:val="74C0E2B4"/>
    <w:rsid w:val="75509676"/>
    <w:rsid w:val="75985124"/>
    <w:rsid w:val="75E6A258"/>
    <w:rsid w:val="75F7E952"/>
    <w:rsid w:val="767EC6A2"/>
    <w:rsid w:val="7711FAED"/>
    <w:rsid w:val="771708E0"/>
    <w:rsid w:val="771A0505"/>
    <w:rsid w:val="774C28C0"/>
    <w:rsid w:val="777E26DE"/>
    <w:rsid w:val="77A333CD"/>
    <w:rsid w:val="77C8D6EC"/>
    <w:rsid w:val="782566F6"/>
    <w:rsid w:val="7882E2AA"/>
    <w:rsid w:val="78AB27F4"/>
    <w:rsid w:val="79C13757"/>
    <w:rsid w:val="79D1ADA8"/>
    <w:rsid w:val="79DEB1CB"/>
    <w:rsid w:val="7A148D17"/>
    <w:rsid w:val="7A8CA244"/>
    <w:rsid w:val="7A8D0BF9"/>
    <w:rsid w:val="7AAA8226"/>
    <w:rsid w:val="7ACE80E6"/>
    <w:rsid w:val="7B1DF4DF"/>
    <w:rsid w:val="7B580074"/>
    <w:rsid w:val="7BBE1A9F"/>
    <w:rsid w:val="7BC516B8"/>
    <w:rsid w:val="7BD802FC"/>
    <w:rsid w:val="7BE3BF6A"/>
    <w:rsid w:val="7C1BF8A7"/>
    <w:rsid w:val="7C465287"/>
    <w:rsid w:val="7CAF2A99"/>
    <w:rsid w:val="7D157076"/>
    <w:rsid w:val="7DC7BE8F"/>
    <w:rsid w:val="7E002FF8"/>
    <w:rsid w:val="7EB3332B"/>
    <w:rsid w:val="7F06DC11"/>
    <w:rsid w:val="7F52695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BE0F"/>
  <w15:docId w15:val="{35541277-27F3-401A-A9EC-C88E7DEE8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fr-FR"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numPr>
        <w:ilvl w:val="1"/>
        <w:numId w:val="10"/>
      </w:numPr>
      <w:spacing w:before="360" w:after="120"/>
      <w:outlineLvl w:val="1"/>
    </w:pPr>
    <w:rPr>
      <w:sz w:val="32"/>
      <w:szCs w:val="32"/>
    </w:rPr>
  </w:style>
  <w:style w:type="paragraph" w:styleId="Heading3">
    <w:name w:val="heading 3"/>
    <w:basedOn w:val="Normal"/>
    <w:next w:val="Normal"/>
    <w:uiPriority w:val="9"/>
    <w:semiHidden/>
    <w:unhideWhenUsed/>
    <w:qFormat/>
    <w:pPr>
      <w:keepNext/>
      <w:keepLines/>
      <w:numPr>
        <w:ilvl w:val="2"/>
        <w:numId w:val="10"/>
      </w:numPr>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numPr>
        <w:ilvl w:val="3"/>
        <w:numId w:val="10"/>
      </w:numPr>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numPr>
        <w:ilvl w:val="4"/>
        <w:numId w:val="10"/>
      </w:numPr>
      <w:spacing w:before="240" w:after="80"/>
      <w:outlineLvl w:val="4"/>
    </w:pPr>
    <w:rPr>
      <w:color w:val="666666"/>
    </w:rPr>
  </w:style>
  <w:style w:type="paragraph" w:styleId="Heading6">
    <w:name w:val="heading 6"/>
    <w:basedOn w:val="Normal"/>
    <w:next w:val="Normal"/>
    <w:uiPriority w:val="9"/>
    <w:semiHidden/>
    <w:unhideWhenUsed/>
    <w:qFormat/>
    <w:pPr>
      <w:keepNext/>
      <w:keepLines/>
      <w:numPr>
        <w:ilvl w:val="5"/>
        <w:numId w:val="10"/>
      </w:numPr>
      <w:spacing w:before="240" w:after="80"/>
      <w:outlineLvl w:val="5"/>
    </w:pPr>
    <w:rPr>
      <w:i/>
      <w:color w:val="666666"/>
    </w:rPr>
  </w:style>
  <w:style w:type="paragraph" w:styleId="Heading7">
    <w:name w:val="heading 7"/>
    <w:basedOn w:val="Normal"/>
    <w:next w:val="Normal"/>
    <w:link w:val="Heading7Char"/>
    <w:uiPriority w:val="9"/>
    <w:semiHidden/>
    <w:unhideWhenUsed/>
    <w:qFormat/>
    <w:rsid w:val="00275045"/>
    <w:pPr>
      <w:keepNext/>
      <w:keepLines/>
      <w:numPr>
        <w:ilvl w:val="6"/>
        <w:numId w:val="10"/>
      </w:numPr>
      <w:spacing w:before="40"/>
      <w:outlineLvl w:val="6"/>
    </w:pPr>
    <w:rPr>
      <w:rFonts w:asciiTheme="majorHAnsi" w:hAnsiTheme="majorHAnsi" w:eastAsiaTheme="majorEastAsia" w:cstheme="majorBidi"/>
      <w:i/>
      <w:iCs/>
      <w:color w:val="243F60" w:themeColor="accent1" w:themeShade="7F"/>
    </w:rPr>
  </w:style>
  <w:style w:type="paragraph" w:styleId="Heading8">
    <w:name w:val="heading 8"/>
    <w:basedOn w:val="Normal"/>
    <w:next w:val="Normal"/>
    <w:link w:val="Heading8Char"/>
    <w:uiPriority w:val="9"/>
    <w:semiHidden/>
    <w:unhideWhenUsed/>
    <w:qFormat/>
    <w:rsid w:val="00275045"/>
    <w:pPr>
      <w:keepNext/>
      <w:keepLines/>
      <w:numPr>
        <w:ilvl w:val="7"/>
        <w:numId w:val="10"/>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5045"/>
    <w:pPr>
      <w:keepNext/>
      <w:keepLines/>
      <w:numPr>
        <w:ilvl w:val="8"/>
        <w:numId w:val="10"/>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82D81"/>
    <w:rPr>
      <w:color w:val="0000FF" w:themeColor="hyperlink"/>
      <w:u w:val="single"/>
    </w:rPr>
  </w:style>
  <w:style w:type="character" w:styleId="UnresolvedMention">
    <w:name w:val="Unresolved Mention"/>
    <w:basedOn w:val="DefaultParagraphFont"/>
    <w:uiPriority w:val="99"/>
    <w:semiHidden/>
    <w:unhideWhenUsed/>
    <w:rsid w:val="00482D81"/>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B6980"/>
    <w:pPr>
      <w:spacing w:line="240" w:lineRule="auto"/>
    </w:pPr>
  </w:style>
  <w:style w:type="paragraph" w:styleId="CommentSubject">
    <w:name w:val="annotation subject"/>
    <w:basedOn w:val="CommentText"/>
    <w:next w:val="CommentText"/>
    <w:link w:val="CommentSubjectChar"/>
    <w:uiPriority w:val="99"/>
    <w:semiHidden/>
    <w:unhideWhenUsed/>
    <w:rsid w:val="00F46615"/>
    <w:rPr>
      <w:b/>
      <w:bCs/>
    </w:rPr>
  </w:style>
  <w:style w:type="character" w:styleId="CommentSubjectChar" w:customStyle="1">
    <w:name w:val="Comment Subject Char"/>
    <w:basedOn w:val="CommentTextChar"/>
    <w:link w:val="CommentSubject"/>
    <w:uiPriority w:val="99"/>
    <w:semiHidden/>
    <w:rsid w:val="00F46615"/>
    <w:rPr>
      <w:b/>
      <w:bCs/>
      <w:sz w:val="20"/>
      <w:szCs w:val="20"/>
    </w:rPr>
  </w:style>
  <w:style w:type="paragraph" w:styleId="Normal0" w:customStyle="1">
    <w:name w:val="Normal0"/>
    <w:basedOn w:val="Normal"/>
    <w:uiPriority w:val="1"/>
    <w:qFormat/>
    <w:rsid w:val="125F203A"/>
  </w:style>
  <w:style w:type="paragraph" w:styleId="EPONormal" w:customStyle="1">
    <w:name w:val="EPO Normal"/>
    <w:qFormat/>
    <w:rsid w:val="00275045"/>
    <w:pPr>
      <w:spacing w:line="287" w:lineRule="auto"/>
      <w:jc w:val="both"/>
    </w:pPr>
  </w:style>
  <w:style w:type="paragraph" w:styleId="EPOSubheading11pt" w:customStyle="1">
    <w:name w:val="EPO Subheading 11pt"/>
    <w:next w:val="EPONormal"/>
    <w:qFormat/>
    <w:rsid w:val="00275045"/>
    <w:pPr>
      <w:keepNext/>
      <w:spacing w:before="220" w:after="220" w:line="287" w:lineRule="auto"/>
    </w:pPr>
    <w:rPr>
      <w:b/>
    </w:rPr>
  </w:style>
  <w:style w:type="paragraph" w:styleId="EPOFootnote" w:customStyle="1">
    <w:name w:val="EPO Footnote"/>
    <w:qFormat/>
    <w:rsid w:val="00275045"/>
    <w:pPr>
      <w:spacing w:line="287" w:lineRule="auto"/>
      <w:jc w:val="both"/>
    </w:pPr>
    <w:rPr>
      <w:sz w:val="16"/>
    </w:rPr>
  </w:style>
  <w:style w:type="paragraph" w:styleId="EPOFooter" w:customStyle="1">
    <w:name w:val="EPO Footer"/>
    <w:qFormat/>
    <w:rsid w:val="00275045"/>
    <w:pPr>
      <w:spacing w:line="287" w:lineRule="auto"/>
    </w:pPr>
    <w:rPr>
      <w:sz w:val="16"/>
    </w:rPr>
  </w:style>
  <w:style w:type="paragraph" w:styleId="EPOHeader" w:customStyle="1">
    <w:name w:val="EPO Header"/>
    <w:qFormat/>
    <w:rsid w:val="00275045"/>
    <w:pPr>
      <w:spacing w:line="287" w:lineRule="auto"/>
    </w:pPr>
    <w:rPr>
      <w:sz w:val="16"/>
    </w:rPr>
  </w:style>
  <w:style w:type="paragraph" w:styleId="EPOSubheading14pt" w:customStyle="1">
    <w:name w:val="EPO Subheading 14pt"/>
    <w:next w:val="EPONormal"/>
    <w:qFormat/>
    <w:rsid w:val="00275045"/>
    <w:pPr>
      <w:keepNext/>
      <w:spacing w:before="220" w:after="220" w:line="287" w:lineRule="auto"/>
    </w:pPr>
    <w:rPr>
      <w:b/>
      <w:sz w:val="28"/>
    </w:rPr>
  </w:style>
  <w:style w:type="paragraph" w:styleId="EPOAnnex" w:customStyle="1">
    <w:name w:val="EPO Annex"/>
    <w:next w:val="EPONormal"/>
    <w:qFormat/>
    <w:rsid w:val="00275045"/>
    <w:pPr>
      <w:pageBreakBefore/>
      <w:numPr>
        <w:numId w:val="2"/>
      </w:numPr>
      <w:tabs>
        <w:tab w:val="clear" w:pos="567"/>
        <w:tab w:val="left" w:pos="1417"/>
      </w:tabs>
      <w:spacing w:after="220" w:line="287" w:lineRule="auto"/>
      <w:ind w:left="1417" w:hanging="1417"/>
    </w:pPr>
    <w:rPr>
      <w:b/>
      <w:sz w:val="28"/>
    </w:rPr>
  </w:style>
  <w:style w:type="character" w:styleId="Heading7Char" w:customStyle="1">
    <w:name w:val="Heading 7 Char"/>
    <w:basedOn w:val="DefaultParagraphFont"/>
    <w:link w:val="Heading7"/>
    <w:uiPriority w:val="9"/>
    <w:semiHidden/>
    <w:rsid w:val="00275045"/>
    <w:rPr>
      <w:rFonts w:asciiTheme="majorHAnsi" w:hAnsiTheme="majorHAnsi" w:eastAsiaTheme="majorEastAsia" w:cstheme="majorBidi"/>
      <w:i/>
      <w:iCs/>
      <w:color w:val="243F60" w:themeColor="accent1" w:themeShade="7F"/>
    </w:rPr>
  </w:style>
  <w:style w:type="character" w:styleId="Heading8Char" w:customStyle="1">
    <w:name w:val="Heading 8 Char"/>
    <w:basedOn w:val="DefaultParagraphFont"/>
    <w:link w:val="Heading8"/>
    <w:uiPriority w:val="9"/>
    <w:semiHidden/>
    <w:rsid w:val="00275045"/>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275045"/>
    <w:rPr>
      <w:rFonts w:asciiTheme="majorHAnsi" w:hAnsiTheme="majorHAnsi" w:eastAsiaTheme="majorEastAsia" w:cstheme="majorBidi"/>
      <w:i/>
      <w:iCs/>
      <w:color w:val="272727" w:themeColor="text1" w:themeTint="D8"/>
      <w:sz w:val="21"/>
      <w:szCs w:val="21"/>
    </w:rPr>
  </w:style>
  <w:style w:type="paragraph" w:styleId="EPOTitle1-25pt" w:customStyle="1">
    <w:name w:val="EPO Title 1 - 25pt"/>
    <w:next w:val="EPONormal"/>
    <w:qFormat/>
    <w:rsid w:val="00275045"/>
    <w:pPr>
      <w:spacing w:after="220" w:line="287" w:lineRule="auto"/>
    </w:pPr>
    <w:rPr>
      <w:b/>
      <w:sz w:val="50"/>
    </w:rPr>
  </w:style>
  <w:style w:type="paragraph" w:styleId="EPOTitle2-18pt" w:customStyle="1">
    <w:name w:val="EPO Title 2 - 18pt"/>
    <w:next w:val="EPONormal"/>
    <w:qFormat/>
    <w:rsid w:val="00275045"/>
    <w:pPr>
      <w:spacing w:after="220" w:line="287" w:lineRule="auto"/>
    </w:pPr>
    <w:rPr>
      <w:b/>
      <w:sz w:val="36"/>
    </w:rPr>
  </w:style>
  <w:style w:type="paragraph" w:styleId="EPOHeading1" w:customStyle="1">
    <w:name w:val="EPO Heading 1"/>
    <w:next w:val="EPONormal"/>
    <w:qFormat/>
    <w:rsid w:val="00275045"/>
    <w:pPr>
      <w:keepNext/>
      <w:numPr>
        <w:numId w:val="6"/>
      </w:numPr>
      <w:spacing w:before="220" w:after="220" w:line="287" w:lineRule="auto"/>
      <w:outlineLvl w:val="0"/>
    </w:pPr>
    <w:rPr>
      <w:b/>
      <w:sz w:val="28"/>
    </w:rPr>
  </w:style>
  <w:style w:type="paragraph" w:styleId="EPOHeading2" w:customStyle="1">
    <w:name w:val="EPO Heading 2"/>
    <w:next w:val="EPONormal"/>
    <w:qFormat/>
    <w:rsid w:val="00275045"/>
    <w:pPr>
      <w:keepNext/>
      <w:numPr>
        <w:ilvl w:val="1"/>
        <w:numId w:val="6"/>
      </w:numPr>
      <w:spacing w:before="220" w:after="220" w:line="287" w:lineRule="auto"/>
      <w:outlineLvl w:val="1"/>
    </w:pPr>
    <w:rPr>
      <w:b/>
      <w:sz w:val="24"/>
    </w:rPr>
  </w:style>
  <w:style w:type="paragraph" w:styleId="EPOHeading3" w:customStyle="1">
    <w:name w:val="EPO Heading 3"/>
    <w:next w:val="EPONormal"/>
    <w:qFormat/>
    <w:rsid w:val="00275045"/>
    <w:pPr>
      <w:keepNext/>
      <w:numPr>
        <w:ilvl w:val="2"/>
        <w:numId w:val="6"/>
      </w:numPr>
      <w:spacing w:before="220" w:after="220" w:line="287" w:lineRule="auto"/>
      <w:outlineLvl w:val="2"/>
    </w:pPr>
    <w:rPr>
      <w:b/>
    </w:rPr>
  </w:style>
  <w:style w:type="paragraph" w:styleId="EPOHeading4" w:customStyle="1">
    <w:name w:val="EPO Heading 4"/>
    <w:next w:val="EPONormal"/>
    <w:qFormat/>
    <w:rsid w:val="00275045"/>
    <w:pPr>
      <w:keepNext/>
      <w:numPr>
        <w:ilvl w:val="3"/>
        <w:numId w:val="6"/>
      </w:numPr>
      <w:spacing w:before="220" w:after="220" w:line="287" w:lineRule="auto"/>
      <w:outlineLvl w:val="3"/>
    </w:pPr>
    <w:rPr>
      <w:b/>
    </w:rPr>
  </w:style>
  <w:style w:type="paragraph" w:styleId="EPOBullet1stlevel" w:customStyle="1">
    <w:name w:val="EPO Bullet 1st level"/>
    <w:qFormat/>
    <w:rsid w:val="00275045"/>
    <w:pPr>
      <w:numPr>
        <w:numId w:val="7"/>
      </w:numPr>
      <w:tabs>
        <w:tab w:val="clear" w:pos="1134"/>
      </w:tabs>
      <w:spacing w:line="287" w:lineRule="auto"/>
      <w:ind w:left="397" w:hanging="397"/>
      <w:jc w:val="both"/>
    </w:pPr>
  </w:style>
  <w:style w:type="paragraph" w:styleId="EPOBullet2ndlevel" w:customStyle="1">
    <w:name w:val="EPO Bullet 2nd level"/>
    <w:qFormat/>
    <w:rsid w:val="00275045"/>
    <w:pPr>
      <w:numPr>
        <w:numId w:val="8"/>
      </w:numPr>
      <w:tabs>
        <w:tab w:val="clear" w:pos="1701"/>
      </w:tabs>
      <w:spacing w:line="287" w:lineRule="auto"/>
      <w:ind w:left="794" w:hanging="397"/>
      <w:jc w:val="both"/>
    </w:pPr>
  </w:style>
  <w:style w:type="paragraph" w:styleId="EPOList-numbers" w:customStyle="1">
    <w:name w:val="EPO List - numbers"/>
    <w:qFormat/>
    <w:rsid w:val="00275045"/>
    <w:pPr>
      <w:numPr>
        <w:numId w:val="9"/>
      </w:numPr>
      <w:tabs>
        <w:tab w:val="left" w:pos="397"/>
      </w:tabs>
      <w:spacing w:line="287" w:lineRule="auto"/>
      <w:jc w:val="both"/>
    </w:pPr>
  </w:style>
  <w:style w:type="paragraph" w:styleId="EPOList-letters" w:customStyle="1">
    <w:name w:val="EPO List - letters"/>
    <w:qFormat/>
    <w:rsid w:val="00275045"/>
    <w:pPr>
      <w:numPr>
        <w:numId w:val="10"/>
      </w:numPr>
      <w:tabs>
        <w:tab w:val="left" w:pos="397"/>
      </w:tabs>
      <w:spacing w:line="287" w:lineRule="auto"/>
      <w:jc w:val="both"/>
    </w:pPr>
  </w:style>
  <w:style w:type="paragraph" w:styleId="Header">
    <w:name w:val="header"/>
    <w:basedOn w:val="Normal"/>
    <w:link w:val="HeaderChar"/>
    <w:uiPriority w:val="99"/>
    <w:semiHidden/>
    <w:unhideWhenUsed/>
    <w:rsid w:val="00C63D16"/>
    <w:pPr>
      <w:tabs>
        <w:tab w:val="center" w:pos="4680"/>
        <w:tab w:val="right" w:pos="9360"/>
      </w:tabs>
      <w:spacing w:line="240" w:lineRule="auto"/>
    </w:pPr>
  </w:style>
  <w:style w:type="character" w:styleId="HeaderChar" w:customStyle="1">
    <w:name w:val="Header Char"/>
    <w:basedOn w:val="DefaultParagraphFont"/>
    <w:link w:val="Header"/>
    <w:uiPriority w:val="99"/>
    <w:semiHidden/>
    <w:rsid w:val="00C63D16"/>
  </w:style>
  <w:style w:type="paragraph" w:styleId="Footer">
    <w:name w:val="footer"/>
    <w:basedOn w:val="Normal"/>
    <w:link w:val="FooterChar"/>
    <w:uiPriority w:val="99"/>
    <w:semiHidden/>
    <w:unhideWhenUsed/>
    <w:rsid w:val="00C63D16"/>
    <w:pPr>
      <w:tabs>
        <w:tab w:val="center" w:pos="4680"/>
        <w:tab w:val="right" w:pos="9360"/>
      </w:tabs>
      <w:spacing w:line="240" w:lineRule="auto"/>
    </w:pPr>
  </w:style>
  <w:style w:type="character" w:styleId="FooterChar" w:customStyle="1">
    <w:name w:val="Footer Char"/>
    <w:basedOn w:val="DefaultParagraphFont"/>
    <w:link w:val="Footer"/>
    <w:uiPriority w:val="99"/>
    <w:semiHidden/>
    <w:rsid w:val="00C63D16"/>
  </w:style>
  <w:style w:type="character" w:styleId="FollowedHyperlink">
    <w:name w:val="FollowedHyperlink"/>
    <w:basedOn w:val="DefaultParagraphFont"/>
    <w:uiPriority w:val="99"/>
    <w:semiHidden/>
    <w:unhideWhenUsed/>
    <w:rsid w:val="00FA3135"/>
    <w:rPr>
      <w:color w:val="800080" w:themeColor="followedHyperlink"/>
      <w:u w:val="single"/>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20/10/relationships/intelligence" Target="intelligence2.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webSettings" Target="webSetting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hyperlink" Target="https://www.epo.org/fr/news-events/european-inventor-award/streaming?mtm_campaign=EIA2024&amp;mtm_keyword=pressrelease&amp;mtm_medium=press" TargetMode="External" Id="R2e3b9ab5d26a4ce1" /><Relationship Type="http://schemas.openxmlformats.org/officeDocument/2006/relationships/hyperlink" Target="https://www.epo.org/fr/news-events/european-inventor-award/meet-the-finalists/rochelle-niemeijer?mtm_campaign=EIA2024&amp;mtm_keyword=pressrelease&amp;mtm_medium=press" TargetMode="External" Id="R0483bd8af277474a" /><Relationship Type="http://schemas.openxmlformats.org/officeDocument/2006/relationships/hyperlink" Target="mailto:press@epo.org" TargetMode="External" Id="Rf5e93d42f7474e2c" /><Relationship Type="http://schemas.openxmlformats.org/officeDocument/2006/relationships/hyperlink" Target="https://www.epo.org/en/news-events/european-inventor-award/categories-and-prizes" TargetMode="External" Id="R555027ae04484538" /><Relationship Type="http://schemas.openxmlformats.org/officeDocument/2006/relationships/hyperlink" Target="https://www.epo.org/fr/news-events/european-inventor-award?mtm_campaign=EIA2024&amp;mtm_keyword=pressrelease&amp;mtm_medium=press" TargetMode="External" Id="R8859351c6b9a41ca" /><Relationship Type="http://schemas.openxmlformats.org/officeDocument/2006/relationships/hyperlink" Target="https://www.epo.org/fr/?mtm_campaign=EIA2024&amp;mtm_keyword=pressrelease&amp;mtm_medium=press" TargetMode="External" Id="R21d7328c188b450e" /><Relationship Type="http://schemas.openxmlformats.org/officeDocument/2006/relationships/footer" Target="footer.xml" Id="R4cae8653c1d04920" /><Relationship Type="http://schemas.openxmlformats.org/officeDocument/2006/relationships/hyperlink" Target="https://www.thelancet.com/journals/lancet/article/PIIS0140-6736(22)02185-7/fulltext" TargetMode="External" Id="R29a3a8b21f95490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&#65279;<?xml version="1.0" encoding="utf-8"?><Relationships xmlns="http://schemas.openxmlformats.org/package/2006/relationships"><Relationship Type="http://schemas.openxmlformats.org/officeDocument/2006/relationships/image" Target="/media/image.png" Id="R4b22a87a6a854fd2" /><Relationship Type="http://schemas.openxmlformats.org/officeDocument/2006/relationships/image" Target="/media/image2.png" Id="R7725b5ae1fc2498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PO Document" ma:contentTypeID="0x0101004B4BAD3DDDE0F84A8E56A09DD9B2FAD700589673E0CE02EC4FA69E3DADD58EC854" ma:contentTypeVersion="17" ma:contentTypeDescription="The standard content type for document management documents." ma:contentTypeScope="" ma:versionID="6a2087d8a798ac184d75514626af6db0">
  <xsd:schema xmlns:xsd="http://www.w3.org/2001/XMLSchema" xmlns:xs="http://www.w3.org/2001/XMLSchema" xmlns:p="http://schemas.microsoft.com/office/2006/metadata/properties" xmlns:ns2="f2e99cb4-f4f9-415e-b3d9-1292be195fdc" xmlns:ns3="http://schemas.microsoft.com/sharepoint/v3/fields" xmlns:ns4="c19017b9-b632-4fd7-b272-8e1706ce9985" targetNamespace="http://schemas.microsoft.com/office/2006/metadata/properties" ma:root="true" ma:fieldsID="e71387e9d4f639189bd694c462f23f5a" ns2:_="" ns3:_="" ns4:_="">
    <xsd:import namespace="f2e99cb4-f4f9-415e-b3d9-1292be195fdc"/>
    <xsd:import namespace="http://schemas.microsoft.com/sharepoint/v3/fields"/>
    <xsd:import namespace="c19017b9-b632-4fd7-b272-8e1706ce9985"/>
    <xsd:element name="properties">
      <xsd:complexType>
        <xsd:sequence>
          <xsd:element name="documentManagement">
            <xsd:complexType>
              <xsd:all>
                <xsd:element ref="ns2:_dlc_DocId" minOccurs="0"/>
                <xsd:element ref="ns2:_dlc_DocIdUrl" minOccurs="0"/>
                <xsd:element ref="ns2:_dlc_DocIdPersistId" minOccurs="0"/>
                <xsd:element ref="ns2:EpoDescription" minOccurs="0"/>
                <xsd:element ref="ns3:_Contributor" minOccurs="0"/>
                <xsd:element ref="ns2:l37acc09589144f2848d5d1ad3c39eb7" minOccurs="0"/>
                <xsd:element ref="ns2:TaxCatchAll" minOccurs="0"/>
                <xsd:element ref="ns2:TaxCatchAllLabel" minOccurs="0"/>
                <xsd:element ref="ns2:ib411f8be5b84d12836196854ec78c3f" minOccurs="0"/>
                <xsd:element ref="ns2:EpoDate" minOccurs="0"/>
                <xsd:element ref="ns2:ke237a5d03bb47ebaf448dcabb309882" minOccurs="0"/>
                <xsd:element ref="ns2:EpoSource" minOccurs="0"/>
                <xsd:element ref="ns2:EpoRelation" minOccurs="0"/>
                <xsd:element ref="ns2:a641881c17b74053ba819cacede073f8" minOccurs="0"/>
                <xsd:element ref="ns2:EpoRigh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e99cb4-f4f9-415e-b3d9-1292be195fd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poDescription" ma:index="11" nillable="true" ma:displayName="Description" ma:description="An account of the resource." ma:internalName="EpoDescription">
      <xsd:simpleType>
        <xsd:restriction base="dms:Note">
          <xsd:maxLength value="255"/>
        </xsd:restriction>
      </xsd:simpleType>
    </xsd:element>
    <xsd:element name="l37acc09589144f2848d5d1ad3c39eb7" ma:index="14" nillable="true" ma:taxonomy="true" ma:internalName="l37acc09589144f2848d5d1ad3c39eb7" ma:taxonomyFieldName="EpoCategory" ma:displayName="Category" ma:default="" ma:fieldId="{537acc09-5891-44f2-848d-5d1ad3c39eb7}" ma:taxonomyMulti="true" ma:sspId="9fe85f9d-14b9-4f9c-9861-ae262a00135d" ma:termSetId="675319bc-c722-49d9-bd3c-bd5e6a7f0e38" ma:anchorId="00000000-0000-0000-0000-000000000000" ma:open="true" ma:isKeyword="false">
      <xsd:complexType>
        <xsd:sequence>
          <xsd:element ref="pc:Terms" minOccurs="0" maxOccurs="1"/>
        </xsd:sequence>
      </xsd:complexType>
    </xsd:element>
    <xsd:element name="TaxCatchAll" ma:index="15" nillable="true" ma:displayName="Taxonomy Catch All Column" ma:hidden="true" ma:list="{79119f2e-4511-441c-bc81-7caab33b0617}" ma:internalName="TaxCatchAll" ma:showField="CatchAllData"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79119f2e-4511-441c-bc81-7caab33b0617}" ma:internalName="TaxCatchAllLabel" ma:readOnly="true" ma:showField="CatchAllDataLabel" ma:web="c19017b9-b632-4fd7-b272-8e1706ce9985">
      <xsd:complexType>
        <xsd:complexContent>
          <xsd:extension base="dms:MultiChoiceLookup">
            <xsd:sequence>
              <xsd:element name="Value" type="dms:Lookup" maxOccurs="unbounded" minOccurs="0" nillable="true"/>
            </xsd:sequence>
          </xsd:extension>
        </xsd:complexContent>
      </xsd:complexType>
    </xsd:element>
    <xsd:element name="ib411f8be5b84d12836196854ec78c3f" ma:index="18" nillable="true" ma:taxonomy="true" ma:internalName="ib411f8be5b84d12836196854ec78c3f" ma:taxonomyFieldName="EpoLanguage" ma:displayName="Language" ma:readOnly="false" ma:fieldId="{2b411f8b-e5b8-4d12-8361-96854ec78c3f}" ma:taxonomyMulti="true" ma:sspId="9fe85f9d-14b9-4f9c-9861-ae262a00135d" ma:termSetId="d10454e8-2f9a-4a28-a30e-da0140bdcf23" ma:anchorId="00000000-0000-0000-0000-000000000000" ma:open="false" ma:isKeyword="false">
      <xsd:complexType>
        <xsd:sequence>
          <xsd:element ref="pc:Terms" minOccurs="0" maxOccurs="1"/>
        </xsd:sequence>
      </xsd:complexType>
    </xsd:element>
    <xsd:element name="EpoDate" ma:index="20" nillable="true" ma:displayName="Date" ma:description="A point in time associated with an event in the lifecycle of the resource" ma:format="DateOnly" ma:internalName="EpoDate">
      <xsd:simpleType>
        <xsd:restriction base="dms:DateTime"/>
      </xsd:simpleType>
    </xsd:element>
    <xsd:element name="ke237a5d03bb47ebaf448dcabb309882" ma:index="21" nillable="true" ma:taxonomy="true" ma:internalName="ke237a5d03bb47ebaf448dcabb309882" ma:taxonomyFieldName="EpoCoverage" ma:displayName="Coverage" ma:fieldId="{4e237a5d-03bb-47eb-af44-8dcabb309882}" ma:taxonomyMulti="true" ma:sspId="9fe85f9d-14b9-4f9c-9861-ae262a00135d" ma:termSetId="b49f64b3-4722-4336-9a5c-56c326b344d4" ma:anchorId="00000000-0000-0000-0000-000000000000" ma:open="false" ma:isKeyword="false">
      <xsd:complexType>
        <xsd:sequence>
          <xsd:element ref="pc:Terms" minOccurs="0" maxOccurs="1"/>
        </xsd:sequence>
      </xsd:complexType>
    </xsd:element>
    <xsd:element name="EpoSource" ma:index="23" nillable="true" ma:displayName="Source" ma:description="References to resources from which this resource was derived" ma:internalName="EpoSource">
      <xsd:simpleType>
        <xsd:restriction base="dms:Text"/>
      </xsd:simpleType>
    </xsd:element>
    <xsd:element name="EpoRelation" ma:index="24" nillable="true" ma:displayName="Relation" ma:description="References to related resources" ma:internalName="EpoRelation">
      <xsd:simpleType>
        <xsd:restriction base="dms:Text"/>
      </xsd:simpleType>
    </xsd:element>
    <xsd:element name="a641881c17b74053ba819cacede073f8" ma:index="25" nillable="true" ma:taxonomy="true" ma:internalName="a641881c17b74053ba819cacede073f8" ma:taxonomyFieldName="EpoPublisher" ma:displayName="Publisher" ma:readOnly="false" ma:fieldId="{a641881c-17b7-4053-ba81-9cacede073f8}" ma:taxonomyMulti="true" ma:sspId="9fe85f9d-14b9-4f9c-9861-ae262a00135d" ma:termSetId="8ed8c9ea-7052-4c1d-a4d7-b9c10bffea6f" ma:anchorId="00000000-0000-0000-0000-000000000000" ma:open="false" ma:isKeyword="false">
      <xsd:complexType>
        <xsd:sequence>
          <xsd:element ref="pc:Terms" minOccurs="0" maxOccurs="1"/>
        </xsd:sequence>
      </xsd:complexType>
    </xsd:element>
    <xsd:element name="EpoRights" ma:index="27" nillable="true" ma:displayName="Rights" ma:description="Information about rights held in and over the resource" ma:internalName="EpoRight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13" nillable="true" ma:displayName="Contributor" ma:description="One or more people or organizations that contributed to this resource" ma:internalName="_Contributo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19017b9-b632-4fd7-b272-8e1706ce9985"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2"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9fe85f9d-14b9-4f9c-9861-ae262a00135d" ContentTypeId="0x0101004B4BAD3DDDE0F84A8E56A09DD9B2FAD7"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2e99cb4-f4f9-415e-b3d9-1292be195fdc">TAS0-850928080-102162</_dlc_DocId>
    <_dlc_DocIdUrl xmlns="f2e99cb4-f4f9-415e-b3d9-1292be195fdc">
      <Url>https://byblos2019.internal.epo.org/sites/TAS/_layouts/15/DocIdRedir.aspx?ID=TAS0-850928080-102162</Url>
      <Description>TAS0-850928080-102162</Description>
    </_dlc_DocIdUrl>
    <EpoSource xmlns="f2e99cb4-f4f9-415e-b3d9-1292be195fdc" xsi:nil="true"/>
    <a641881c17b74053ba819cacede073f8 xmlns="f2e99cb4-f4f9-415e-b3d9-1292be195fdc">
      <Terms xmlns="http://schemas.microsoft.com/office/infopath/2007/PartnerControls"/>
    </a641881c17b74053ba819cacede073f8>
    <TaxCatchAll xmlns="f2e99cb4-f4f9-415e-b3d9-1292be195fdc"/>
    <ke237a5d03bb47ebaf448dcabb309882 xmlns="f2e99cb4-f4f9-415e-b3d9-1292be195fdc">
      <Terms xmlns="http://schemas.microsoft.com/office/infopath/2007/PartnerControls"/>
    </ke237a5d03bb47ebaf448dcabb309882>
    <l37acc09589144f2848d5d1ad3c39eb7 xmlns="f2e99cb4-f4f9-415e-b3d9-1292be195fdc">
      <Terms xmlns="http://schemas.microsoft.com/office/infopath/2007/PartnerControls"/>
    </l37acc09589144f2848d5d1ad3c39eb7>
    <_Contributor xmlns="http://schemas.microsoft.com/sharepoint/v3/fields" xsi:nil="true"/>
    <EpoRelation xmlns="f2e99cb4-f4f9-415e-b3d9-1292be195fdc" xsi:nil="true"/>
    <EpoDescription xmlns="f2e99cb4-f4f9-415e-b3d9-1292be195fdc" xsi:nil="true"/>
    <ib411f8be5b84d12836196854ec78c3f xmlns="f2e99cb4-f4f9-415e-b3d9-1292be195fdc">
      <Terms xmlns="http://schemas.microsoft.com/office/infopath/2007/PartnerControls"/>
    </ib411f8be5b84d12836196854ec78c3f>
    <EpoRights xmlns="f2e99cb4-f4f9-415e-b3d9-1292be195fdc" xsi:nil="true"/>
    <EpoDate xmlns="f2e99cb4-f4f9-415e-b3d9-1292be195fdc" xsi:nil="true"/>
  </documentManagement>
</p:properties>
</file>

<file path=customXml/item6.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0B14IMB0X4NUnGr1KDUC2d56tg==">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</go:docsCustomData>
</go:gDocsCustomXmlDataStorage>
</file>

<file path=customXml/itemProps1.xml><?xml version="1.0" encoding="utf-8"?>
<ds:datastoreItem xmlns:ds="http://schemas.openxmlformats.org/officeDocument/2006/customXml" ds:itemID="{81FD94BA-9649-4D4B-A6E0-8C7A5F185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e99cb4-f4f9-415e-b3d9-1292be195fdc"/>
    <ds:schemaRef ds:uri="http://schemas.microsoft.com/sharepoint/v3/fields"/>
    <ds:schemaRef ds:uri="c19017b9-b632-4fd7-b272-8e1706ce9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5926B1-CDCD-4A3B-81EE-395CDD0B44DB}">
  <ds:schemaRefs>
    <ds:schemaRef ds:uri="Microsoft.SharePoint.Taxonomy.ContentTypeSync"/>
  </ds:schemaRefs>
</ds:datastoreItem>
</file>

<file path=customXml/itemProps3.xml><?xml version="1.0" encoding="utf-8"?>
<ds:datastoreItem xmlns:ds="http://schemas.openxmlformats.org/officeDocument/2006/customXml" ds:itemID="{DFED7E86-0471-4067-AE16-93EC014678F9}">
  <ds:schemaRefs>
    <ds:schemaRef ds:uri="http://schemas.microsoft.com/sharepoint/events"/>
  </ds:schemaRefs>
</ds:datastoreItem>
</file>

<file path=customXml/itemProps4.xml><?xml version="1.0" encoding="utf-8"?>
<ds:datastoreItem xmlns:ds="http://schemas.openxmlformats.org/officeDocument/2006/customXml" ds:itemID="{EED4D554-DB7F-4FB5-9B4D-6741D745D8E6}">
  <ds:schemaRefs>
    <ds:schemaRef ds:uri="http://schemas.microsoft.com/sharepoint/v3/contenttype/forms"/>
  </ds:schemaRefs>
</ds:datastoreItem>
</file>

<file path=customXml/itemProps5.xml><?xml version="1.0" encoding="utf-8"?>
<ds:datastoreItem xmlns:ds="http://schemas.openxmlformats.org/officeDocument/2006/customXml" ds:itemID="{7B58D23E-06BE-41FF-88EB-EB8563C42D6A}">
  <ds:schemaRefs>
    <ds:schemaRef ds:uri="http://purl.org/dc/elements/1.1/"/>
    <ds:schemaRef ds:uri="http://schemas.microsoft.com/office/2006/metadata/properties"/>
    <ds:schemaRef ds:uri="http://purl.org/dc/terms/"/>
    <ds:schemaRef ds:uri="http://schemas.openxmlformats.org/package/2006/metadata/core-properties"/>
    <ds:schemaRef ds:uri="c19017b9-b632-4fd7-b272-8e1706ce9985"/>
    <ds:schemaRef ds:uri="http://schemas.microsoft.com/office/2006/documentManagement/types"/>
    <ds:schemaRef ds:uri="http://schemas.microsoft.com/office/infopath/2007/PartnerControls"/>
    <ds:schemaRef ds:uri="http://schemas.microsoft.com/sharepoint/v3/fields"/>
    <ds:schemaRef ds:uri="f2e99cb4-f4f9-415e-b3d9-1292be195fdc"/>
    <ds:schemaRef ds:uri="http://www.w3.org/XML/1998/namespace"/>
    <ds:schemaRef ds:uri="http://purl.org/dc/dcmitype/"/>
  </ds:schemaRefs>
</ds:datastoreItem>
</file>

<file path=customXml/itemProps6.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Maria-Christina Doulami</dc:creator>
  <keywords/>
  <lastModifiedBy>Sophie Rasbash (External)</lastModifiedBy>
  <revision>13</revision>
  <dcterms:created xsi:type="dcterms:W3CDTF">2024-04-30T08:27:00.0000000Z</dcterms:created>
  <dcterms:modified xsi:type="dcterms:W3CDTF">2024-05-29T08:35:09.0158178Z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1d23ade4b659b2d910f7c50371165c327d6311b156ecb39b5bd844795ec15ed4</vt:lpwstr>
  </property>
  <property fmtid="{D5CDD505-2E9C-101B-9397-08002B2CF9AE}" pid="3" name="ContentTypeId">
    <vt:lpwstr>0x0101004B4BAD3DDDE0F84A8E56A09DD9B2FAD700589673E0CE02EC4FA69E3DADD58EC854</vt:lpwstr>
  </property>
  <property fmtid="{D5CDD505-2E9C-101B-9397-08002B2CF9AE}" pid="4" name="_dlc_DocIdItemGuid">
    <vt:lpwstr>c7f061be-46eb-4bf8-9318-c1316f77b355</vt:lpwstr>
  </property>
  <property fmtid="{D5CDD505-2E9C-101B-9397-08002B2CF9AE}" pid="5" name="EpoCoverage">
    <vt:lpwstr/>
  </property>
  <property fmtid="{D5CDD505-2E9C-101B-9397-08002B2CF9AE}" pid="6" name="EpoCategory">
    <vt:lpwstr/>
  </property>
  <property fmtid="{D5CDD505-2E9C-101B-9397-08002B2CF9AE}" pid="7" name="EpoLanguage">
    <vt:lpwstr/>
  </property>
  <property fmtid="{D5CDD505-2E9C-101B-9397-08002B2CF9AE}" pid="8" name="EpoPublisher">
    <vt:lpwstr/>
  </property>
</Properties>
</file>