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Look w:val="06A0" w:firstRow="1" w:lastRow="0" w:firstColumn="1" w:lastColumn="0" w:noHBand="1" w:noVBand="1"/>
      </w:tblPr>
      <w:tblGrid>
        <w:gridCol w:w="9015"/>
      </w:tblGrid>
      <w:tr w:rsidR="35C2712C" w:rsidTr="7EAFB7B5" w14:paraId="40FB832E">
        <w:trPr>
          <w:trHeight w:val="300"/>
        </w:trPr>
        <w:tc>
          <w:tcPr>
            <w:tcW w:w="9015" w:type="dxa"/>
            <w:tcMar/>
          </w:tcPr>
          <w:p w:rsidR="161471A5" w:rsidP="7EAFB7B5" w:rsidRDefault="161471A5" w14:paraId="3875B2C2" w14:textId="6D10906F">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 xml:space="preserve">Bilder </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und</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 xml:space="preserve"> Videos </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zur</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Erfinderin</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und</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ihrer</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Erfindung</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stehen</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924599414cc347dc">
              <w:r w:rsidRPr="7EAFB7B5" w:rsidR="161471A5">
                <w:rPr>
                  <w:rStyle w:val="Hyperlink"/>
                  <w:rFonts w:ascii="Arial" w:hAnsi="Arial" w:eastAsia="Arial" w:cs="Arial"/>
                  <w:b w:val="1"/>
                  <w:bCs w:val="1"/>
                  <w:i w:val="0"/>
                  <w:iCs w:val="0"/>
                  <w:caps w:val="0"/>
                  <w:smallCaps w:val="0"/>
                  <w:strike w:val="0"/>
                  <w:dstrike w:val="0"/>
                  <w:noProof w:val="0"/>
                  <w:sz w:val="22"/>
                  <w:szCs w:val="22"/>
                  <w:lang w:val="es-ES"/>
                </w:rPr>
                <w:t>hier</w:t>
              </w:r>
            </w:hyperlink>
            <w:r w:rsidRPr="7EAFB7B5" w:rsidR="161471A5">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7EAFB7B5" w:rsidR="161471A5">
              <w:rPr>
                <w:rFonts w:ascii="Arial" w:hAnsi="Arial" w:eastAsia="Arial" w:cs="Arial"/>
                <w:b w:val="1"/>
                <w:bCs w:val="1"/>
                <w:i w:val="0"/>
                <w:iCs w:val="0"/>
                <w:caps w:val="0"/>
                <w:smallCaps w:val="0"/>
                <w:noProof w:val="0"/>
                <w:color w:val="000000" w:themeColor="text1" w:themeTint="FF" w:themeShade="FF"/>
                <w:sz w:val="22"/>
                <w:szCs w:val="22"/>
                <w:lang w:val="de-DE"/>
              </w:rPr>
              <w:t>zur Verfügung</w:t>
            </w:r>
          </w:p>
        </w:tc>
      </w:tr>
    </w:tbl>
    <w:p w:rsidRPr="005C75A0" w:rsidR="009F4C54" w:rsidRDefault="005C75A0" w14:paraId="00000002" w14:textId="3DC43F6C">
      <w:pPr>
        <w:spacing w:after="180"/>
        <w:jc w:val="right"/>
        <w:rPr>
          <w:b w:val="1"/>
          <w:bCs w:val="1"/>
          <w:sz w:val="28"/>
          <w:szCs w:val="28"/>
        </w:rPr>
      </w:pPr>
      <w:r>
        <w:br/>
      </w:r>
      <w:r w:rsidRPr="35C2712C" w:rsidR="005C75A0">
        <w:rPr>
          <w:b w:val="1"/>
          <w:bCs w:val="1"/>
          <w:sz w:val="28"/>
          <w:szCs w:val="28"/>
        </w:rPr>
        <w:t xml:space="preserve">PRESSEMITTEILUNG </w:t>
      </w:r>
    </w:p>
    <w:p w:rsidRPr="005C75A0" w:rsidR="009F4C54" w:rsidRDefault="7FC40443" w14:paraId="00000003" w14:textId="635EDC57">
      <w:pPr>
        <w:jc w:val="center"/>
        <w:rPr>
          <w:b/>
          <w:bCs/>
          <w:sz w:val="28"/>
          <w:szCs w:val="28"/>
        </w:rPr>
      </w:pPr>
      <w:r>
        <w:rPr>
          <w:b/>
          <w:sz w:val="28"/>
        </w:rPr>
        <w:t xml:space="preserve">Zurückgewinnung kritischer Materialien aus Batterien: </w:t>
      </w:r>
      <w:proofErr w:type="gramStart"/>
      <w:r>
        <w:rPr>
          <w:b/>
          <w:sz w:val="28"/>
        </w:rPr>
        <w:t>Chinesische</w:t>
      </w:r>
      <w:proofErr w:type="gramEnd"/>
      <w:r>
        <w:rPr>
          <w:b/>
          <w:sz w:val="28"/>
        </w:rPr>
        <w:t xml:space="preserve"> Erfinder als Finalisten für den Europäischen Erfinderpreis 2026 benannt</w:t>
      </w:r>
    </w:p>
    <w:p w:rsidRPr="000C2591" w:rsidR="000C2591" w:rsidP="000C2591" w:rsidRDefault="000C2591" w14:paraId="10E7888A" w14:textId="77777777">
      <w:pPr>
        <w:numPr>
          <w:ilvl w:val="0"/>
          <w:numId w:val="1"/>
        </w:numPr>
        <w:spacing w:before="240"/>
        <w:jc w:val="both"/>
        <w:rPr/>
      </w:pPr>
      <w:proofErr w:type="spellStart"/>
      <w:r w:rsidRPr="725E3BDD" w:rsidR="000C2591">
        <w:rPr>
          <w:b w:val="1"/>
          <w:bCs w:val="1"/>
        </w:rPr>
        <w:t>Yu</w:t>
      </w:r>
      <w:proofErr w:type="spellEnd"/>
      <w:r w:rsidRPr="725E3BDD" w:rsidR="000C2591">
        <w:rPr>
          <w:b w:val="1"/>
          <w:bCs w:val="1"/>
        </w:rPr>
        <w:t xml:space="preserve"> Haijun und Xie Yinghao haben eine patentierte Methode zur Zurückgewinnung von Hochleistungsmaterialien aus verschiedenen Arten von Lithium-Ionen-Altbatterien entwickelt</w:t>
      </w:r>
    </w:p>
    <w:p w:rsidR="11EDE3B9" w:rsidP="41AEAAFA" w:rsidRDefault="11EDE3B9" w14:paraId="66BFA2AB" w14:textId="795EB709">
      <w:pPr>
        <w:numPr>
          <w:ilvl w:val="0"/>
          <w:numId w:val="1"/>
        </w:numPr>
        <w:jc w:val="both"/>
        <w:rPr>
          <w:b/>
          <w:bCs/>
        </w:rPr>
      </w:pPr>
      <w:r w:rsidRPr="41AEAAFA">
        <w:rPr>
          <w:b/>
          <w:bCs/>
        </w:rPr>
        <w:t>Die Erfindung ermöglicht die gezielte Rückgewinnung und Wiederverwendung kritischer Elemente in neue Batterien, wodurch die Umwelt geschützt und die Abhängigkeit vom Primärbergbau verringert wird.</w:t>
      </w:r>
    </w:p>
    <w:p w:rsidRPr="005C75A0" w:rsidR="009F4C54" w:rsidRDefault="10C5EB5A" w14:paraId="00000006" w14:textId="628F6A48">
      <w:pPr>
        <w:numPr>
          <w:ilvl w:val="0"/>
          <w:numId w:val="1"/>
        </w:numPr>
        <w:jc w:val="both"/>
      </w:pPr>
      <w:r>
        <w:rPr>
          <w:b/>
        </w:rPr>
        <w:t>Die chinesischen Erfinder sind Finalisten in der Kategorie "Nicht-EPO-Staaten". Die Gewinner/innen werden während der Preisverleihung am 2. Juli 2026 in Berlin bekannt gegeben</w:t>
      </w:r>
    </w:p>
    <w:p w:rsidRPr="005C75A0" w:rsidR="009F4C54" w:rsidP="7DBBD6B3" w:rsidRDefault="4B14F157" w14:paraId="33AA2E23" w14:textId="50E4A00F">
      <w:pPr>
        <w:pStyle w:val="ListParagraph"/>
        <w:numPr>
          <w:ilvl w:val="0"/>
          <w:numId w:val="1"/>
        </w:numPr>
        <w:spacing w:after="240"/>
        <w:jc w:val="both"/>
        <w:rPr>
          <w:color w:val="000000" w:themeColor="text1"/>
        </w:rPr>
      </w:pPr>
      <w:r>
        <w:rPr>
          <w:b/>
          <w:color w:val="000000" w:themeColor="text1"/>
        </w:rPr>
        <w:t>Die öffentliche Abstimmung über den Publikumspreis startet heute und wird bis zur Preisverleihung am 2. Juli 2026 laufen</w:t>
      </w:r>
    </w:p>
    <w:p w:rsidRPr="005C75A0" w:rsidR="009F4C54" w:rsidP="3E9EB72A" w:rsidRDefault="047EFD8C" w14:paraId="00000008" w14:textId="24D05EC0">
      <w:pPr>
        <w:jc w:val="both"/>
      </w:pPr>
      <w:r w:rsidRPr="7C564B88">
        <w:rPr>
          <w:b/>
          <w:bCs/>
          <w:color w:val="000000" w:themeColor="text1"/>
        </w:rPr>
        <w:t xml:space="preserve">München, 12. Mai 2026 </w:t>
      </w:r>
      <w:r>
        <w:t xml:space="preserve">– Vor dem Hintergrund einer rasch steigenden globalen Nachfrage nach Elektrofahrzeugen und Energiespeichern ist die Suche nach nachhaltigen Quellen für kritische Batteriematerialien weltweit zu einer Priorität geworden. Einer neuen Studie des Europäischen Patentamts und der Internationalen Energieagentur über den Kreislauf von Batterien zufolge könnten 2030 schätzungsweise 1,2 Millionen Batterien aus Elektrofahrzeugen ihr Lebensende erreichen und weitere 14 Millionen im Jahr 2040. Vor diesem Hintergrund haben </w:t>
      </w:r>
      <w:proofErr w:type="spellStart"/>
      <w:r w:rsidRPr="7C564B88">
        <w:rPr>
          <w:b/>
          <w:bCs/>
        </w:rPr>
        <w:t>Yu</w:t>
      </w:r>
      <w:proofErr w:type="spellEnd"/>
      <w:r w:rsidRPr="7C564B88">
        <w:rPr>
          <w:b/>
          <w:bCs/>
        </w:rPr>
        <w:t xml:space="preserve"> Haijun und Xie Yinghao</w:t>
      </w:r>
      <w:r>
        <w:t xml:space="preserve"> ein patentiertes </w:t>
      </w:r>
      <w:r w:rsidRPr="7C564B88">
        <w:rPr>
          <w:b/>
          <w:bCs/>
        </w:rPr>
        <w:t>Recyclingverfahren</w:t>
      </w:r>
      <w:r>
        <w:t xml:space="preserve"> entwickelt, das das direkte Recycling von wiederverwendbarem Lithium-Nickel-</w:t>
      </w:r>
      <w:r w:rsidR="154EE225">
        <w:t>-</w:t>
      </w:r>
      <w:r>
        <w:t>Cobalt-</w:t>
      </w:r>
      <w:r w:rsidR="28E4C5D6">
        <w:t>Mangan-</w:t>
      </w:r>
      <w:r>
        <w:t>Oxid (N</w:t>
      </w:r>
      <w:r w:rsidR="483AAA67">
        <w:t>CM</w:t>
      </w:r>
      <w:r>
        <w:t xml:space="preserve">) aus Lithium-Ionen-Altbatterien ermöglicht. Für ihre Arbeit wurde das chinesische Team von einer unabhängigen Jury als </w:t>
      </w:r>
      <w:r w:rsidRPr="7C564B88">
        <w:rPr>
          <w:b/>
          <w:bCs/>
        </w:rPr>
        <w:t>Finalist in der Kategorie "Nicht-EPO-Staaten" des Europäischen Erfinderpreises 2026</w:t>
      </w:r>
      <w:r>
        <w:t xml:space="preserve"> ausgewählt.</w:t>
      </w:r>
    </w:p>
    <w:p w:rsidRPr="00435DD3" w:rsidR="009F4C54" w:rsidRDefault="009F4C54" w14:paraId="00000009" w14:textId="77777777">
      <w:pPr>
        <w:jc w:val="both"/>
      </w:pPr>
    </w:p>
    <w:p w:rsidRPr="005C75A0" w:rsidR="009F4C54" w:rsidP="41AEAAFA" w:rsidRDefault="005C75A0" w14:paraId="0000000A" w14:textId="77702327">
      <w:pPr>
        <w:spacing w:after="180"/>
        <w:jc w:val="both"/>
        <w:rPr>
          <w:b/>
          <w:bCs/>
          <w:color w:val="AE0009"/>
        </w:rPr>
      </w:pPr>
      <w:r w:rsidRPr="41AEAAFA">
        <w:rPr>
          <w:b/>
          <w:bCs/>
          <w:color w:val="AE0009"/>
        </w:rPr>
        <w:t>Zurückgewinnung von Batteriematerialien i</w:t>
      </w:r>
      <w:r w:rsidR="00822D93">
        <w:rPr>
          <w:b/>
          <w:bCs/>
          <w:color w:val="AE0009"/>
        </w:rPr>
        <w:t>m</w:t>
      </w:r>
      <w:r w:rsidRPr="41AEAAFA" w:rsidR="34B387A8">
        <w:rPr>
          <w:b/>
          <w:bCs/>
          <w:color w:val="AE0009"/>
        </w:rPr>
        <w:t xml:space="preserve"> </w:t>
      </w:r>
      <w:proofErr w:type="spellStart"/>
      <w:r w:rsidRPr="41AEAAFA" w:rsidR="34B387A8">
        <w:rPr>
          <w:b/>
          <w:bCs/>
          <w:color w:val="AE0009"/>
        </w:rPr>
        <w:t>gro</w:t>
      </w:r>
      <w:r w:rsidRPr="0069352A" w:rsidR="34B387A8">
        <w:rPr>
          <w:b/>
          <w:bCs/>
          <w:color w:val="AE0009"/>
        </w:rPr>
        <w:t>ßindustrielle</w:t>
      </w:r>
      <w:r w:rsidRPr="0069352A" w:rsidR="00822D93">
        <w:rPr>
          <w:b/>
          <w:bCs/>
          <w:color w:val="AE0009"/>
        </w:rPr>
        <w:t>n</w:t>
      </w:r>
      <w:proofErr w:type="spellEnd"/>
      <w:r w:rsidRPr="41AEAAFA">
        <w:rPr>
          <w:b/>
          <w:bCs/>
          <w:color w:val="AE0009"/>
        </w:rPr>
        <w:t xml:space="preserve"> </w:t>
      </w:r>
      <w:r w:rsidRPr="41AEAAFA" w:rsidR="63C4B39D">
        <w:rPr>
          <w:b/>
          <w:bCs/>
          <w:color w:val="AE0009"/>
        </w:rPr>
        <w:t>M</w:t>
      </w:r>
      <w:r w:rsidRPr="41AEAAFA">
        <w:rPr>
          <w:b/>
          <w:bCs/>
          <w:color w:val="AE0009"/>
        </w:rPr>
        <w:t>aßstab</w:t>
      </w:r>
    </w:p>
    <w:p w:rsidRPr="005C75A0" w:rsidR="009F4C54" w:rsidRDefault="3491EF59" w14:paraId="0000000B" w14:textId="783FC2B6">
      <w:pPr>
        <w:spacing w:before="240" w:after="240"/>
        <w:jc w:val="both"/>
      </w:pPr>
      <w:r>
        <w:t>Herkömmliche Methoden zum Recycling von Altbatterien ermöglichen meist nur die Rückgewinnung eines geringen Materialwerts</w:t>
      </w:r>
      <w:r w:rsidR="43325BE2">
        <w:t xml:space="preserve"> – </w:t>
      </w:r>
      <w:r>
        <w:t xml:space="preserve">oder </w:t>
      </w:r>
      <w:r w:rsidR="3DBEB476">
        <w:t xml:space="preserve">sie </w:t>
      </w:r>
      <w:r>
        <w:t>beruhen auf mehreren, energieintensiven Verarbeitungsschritten. Diese Verfahren können mit einer ineffizienten Rückgewinnung und einem nur begrenzten Nutzen für den Umweltschutz verbunden sein. Zudem lassen sich die zurückgewonnenen Materialien nur schwer in den Herstellungsprozess neuer Batterien integrieren.</w:t>
      </w:r>
    </w:p>
    <w:p w:rsidR="00822D93" w:rsidRDefault="005C75A0" w14:paraId="66E0EF8E" w14:textId="77777777">
      <w:pPr>
        <w:spacing w:before="240" w:after="240"/>
        <w:jc w:val="both"/>
      </w:pPr>
      <w:r>
        <w:lastRenderedPageBreak/>
        <w:t xml:space="preserve">Um dieses Problem zu lösen, entwickelte das chinesische Team eine Methode, die als direktes Recycling bezeichnet wird. Statt die Batterien in einzelne Rohelemente zu zerlegen, wandelt das Verfahren die Altbatterien und Erzeugungsschrott direkt in ein regeneriertes Kathodenmaterial um, das ideal zur Herstellung neuer Batterien geeignet ist. Indem es die Funktionsstruktur der Materialien erhält, ermöglicht das Verfahren mit Rückgewinnungsraten von bis zu 99,6 % eine deutliche höhere Effizienz. Zudem benötigt es weniger Energie und erzeugt geringere Emissionen. </w:t>
      </w:r>
    </w:p>
    <w:p w:rsidRPr="005C75A0" w:rsidR="009F4C54" w:rsidRDefault="005C75A0" w14:paraId="0000000C" w14:textId="3148BAD1">
      <w:pPr>
        <w:spacing w:before="240" w:after="240"/>
        <w:jc w:val="both"/>
      </w:pPr>
      <w:r w:rsidRPr="41AEAAFA">
        <w:rPr>
          <w:i/>
          <w:iCs/>
        </w:rPr>
        <w:t xml:space="preserve">"Dank der extrem hohen Rückgewinnungsraten, überlegener Materialleistung und </w:t>
      </w:r>
      <w:r w:rsidR="00822D93">
        <w:rPr>
          <w:i/>
          <w:iCs/>
        </w:rPr>
        <w:t xml:space="preserve">der </w:t>
      </w:r>
      <w:r w:rsidRPr="41AEAAFA">
        <w:rPr>
          <w:i/>
          <w:iCs/>
        </w:rPr>
        <w:t>außergewöhnlich niedrigen Verarbeitungskosten reduzieren wir unsere Abhängigkeit von Millionen Tonnen an neu abgebautem Nickel-, Cobalt- und Lithiumerz und leisten so einen wichtigen Beitrag zur Nachhaltigkeit"</w:t>
      </w:r>
      <w:r>
        <w:t xml:space="preserve">, erklärt </w:t>
      </w:r>
      <w:proofErr w:type="spellStart"/>
      <w:r>
        <w:t>Yu</w:t>
      </w:r>
      <w:proofErr w:type="spellEnd"/>
      <w:r>
        <w:t xml:space="preserve"> Haijun.</w:t>
      </w:r>
    </w:p>
    <w:p w:rsidRPr="005C75A0" w:rsidR="009F4C54" w:rsidRDefault="10C5EB5A" w14:paraId="0000000D" w14:textId="0D72A190">
      <w:pPr>
        <w:spacing w:before="240" w:after="240"/>
        <w:jc w:val="both"/>
      </w:pPr>
      <w:r>
        <w:t>Das Verfahren wurde zur Rückgewinnung von Nickel-Mangan-Cobalt-Material (NMC) aus Lithium-Ionen-Batterien entwickelt, die in der Elektrofahrzeugindustrie weitverbreitet sind. Im Verlauf mehrerer Iterationsschritte konnte das Team die Leistung, Sicherheit und Lebensdauer des zurückgewonnenen Materials verbessern, sodass diese die strengen Anforderungen der Automobilindustrie erfüllen.</w:t>
      </w:r>
    </w:p>
    <w:p w:rsidRPr="005C75A0" w:rsidR="009F4C54" w:rsidRDefault="005C75A0" w14:paraId="0000000E" w14:textId="77777777">
      <w:pPr>
        <w:jc w:val="both"/>
        <w:rPr>
          <w:b/>
          <w:bCs/>
          <w:color w:val="B13A3C"/>
        </w:rPr>
      </w:pPr>
      <w:r>
        <w:rPr>
          <w:b/>
          <w:color w:val="B13A3C"/>
        </w:rPr>
        <w:t>Aufbau einer Kreislaufwirtschaft für Batterien</w:t>
      </w:r>
    </w:p>
    <w:p w:rsidRPr="005C75A0" w:rsidR="009F4C54" w:rsidRDefault="10C5EB5A" w14:paraId="0000000F" w14:textId="29FB230F">
      <w:pPr>
        <w:spacing w:before="240" w:after="240" w:line="268" w:lineRule="auto"/>
        <w:jc w:val="both"/>
      </w:pPr>
      <w:r>
        <w:t>Die Erfindung entstand aus praktische</w:t>
      </w:r>
      <w:r w:rsidR="5952E2A4">
        <w:t>n</w:t>
      </w:r>
      <w:r>
        <w:t xml:space="preserve"> Erfahrung</w:t>
      </w:r>
      <w:r w:rsidR="33D1ED3D">
        <w:t>en</w:t>
      </w:r>
      <w:r>
        <w:t xml:space="preserve"> in der Batterieherstellung und</w:t>
      </w:r>
      <w:r w:rsidR="478A313E">
        <w:t xml:space="preserve"> der</w:t>
      </w:r>
      <w:r>
        <w:t xml:space="preserve"> Abfallwirtschaft. In den frühen 2000er Jahren beobachtete das Team die zunehmenden Hürden, die mit der Handhabung der Altbatterien einhergingen, und die wachsende Abhängigkeit Chinas von importieren Rohmaterialien. Diese Erkenntnisse führten zur Gründung von </w:t>
      </w:r>
      <w:proofErr w:type="spellStart"/>
      <w:r>
        <w:t>Brunp</w:t>
      </w:r>
      <w:proofErr w:type="spellEnd"/>
      <w:r>
        <w:t xml:space="preserve"> Recycling und langjährigen Forschungsbemühungen, deren Schwerpunkt auf der Entwicklung skalierbarer Recyclingtechnologien lag.</w:t>
      </w:r>
    </w:p>
    <w:p w:rsidRPr="005C75A0" w:rsidR="009F4C54" w:rsidP="41AEAAFA" w:rsidRDefault="005C75A0" w14:paraId="00000010" w14:textId="4E33C422">
      <w:pPr>
        <w:spacing w:before="240" w:after="240" w:line="268" w:lineRule="auto"/>
        <w:jc w:val="both"/>
      </w:pPr>
      <w:proofErr w:type="spellStart"/>
      <w:r>
        <w:t>Yu</w:t>
      </w:r>
      <w:proofErr w:type="spellEnd"/>
      <w:r>
        <w:t xml:space="preserve"> Haijun leitete später die Konzeptentwicklung für die Rückwärtspositionierung von Produkten und direkte Recyclingverfahren</w:t>
      </w:r>
      <w:r w:rsidR="6C1B5B1A">
        <w:t>. Dafür</w:t>
      </w:r>
      <w:r>
        <w:t xml:space="preserve"> stellte </w:t>
      </w:r>
      <w:r w:rsidR="7058986F">
        <w:t xml:space="preserve">er </w:t>
      </w:r>
      <w:r>
        <w:t xml:space="preserve">ein multidisziplinäres Team zusammen, um technische Engpässe bei der Batterieregenerierung zu bewältigen. Nach der Eingliederung von </w:t>
      </w:r>
      <w:proofErr w:type="spellStart"/>
      <w:r>
        <w:t>Brunp</w:t>
      </w:r>
      <w:proofErr w:type="spellEnd"/>
      <w:r>
        <w:t xml:space="preserve"> in das Ökosystem von CATL konnte die Technologie auf </w:t>
      </w:r>
      <w:proofErr w:type="spellStart"/>
      <w:r w:rsidRPr="00435DD3" w:rsidR="152F2B29">
        <w:t>großindustriellen</w:t>
      </w:r>
      <w:proofErr w:type="spellEnd"/>
      <w:r w:rsidRPr="00435DD3" w:rsidR="152F2B29">
        <w:t xml:space="preserve"> Maßstab</w:t>
      </w:r>
      <w:r w:rsidRPr="41AEAAFA">
        <w:t xml:space="preserve"> </w:t>
      </w:r>
      <w:r>
        <w:t>skaliert werden und wurde in bedeutenden Supply Chains der globalen Elektrofahrzeugbranche implementiert.</w:t>
      </w:r>
    </w:p>
    <w:p w:rsidR="2A80E98C" w:rsidP="3E9EB72A" w:rsidRDefault="10C5EB5A" w14:paraId="1221B9FA" w14:textId="46375881">
      <w:pPr>
        <w:spacing w:before="240" w:after="240" w:line="268" w:lineRule="auto"/>
        <w:jc w:val="both"/>
        <w:rPr>
          <w:color w:val="FF0000"/>
        </w:rPr>
      </w:pPr>
      <w:r>
        <w:t xml:space="preserve">Das Recyclingverfahren unterstützt eine stärkere </w:t>
      </w:r>
      <w:r w:rsidR="77B29611">
        <w:t>Batterie-</w:t>
      </w:r>
      <w:r>
        <w:t xml:space="preserve">Kreislaufwirtschaft. Im Einklang mit der Roadmap der </w:t>
      </w:r>
      <w:hyperlink r:id="rId13">
        <w:r w:rsidRPr="41AEAAFA">
          <w:rPr>
            <w:color w:val="1155CC"/>
            <w:u w:val="single"/>
          </w:rPr>
          <w:t>Europäischen Kommission</w:t>
        </w:r>
      </w:hyperlink>
      <w:r>
        <w:t>, die mit der Batterieverordnung verknüpft ist, steigt das Materialrückgewinnungsziel für Cobalt, Kupfer, Blei und Nickel von 90 % im Jahr 2027 auf 95 % im Jahr 2031, während das Ziel für Lithium im gleichen Zeitraum von 50 % auf 80 % steigt. Ein effizienteres Recycling ermöglicht die längere Wiederverwendung von kritischen Materialien und senkt den Bedarf an neu abgebauten Rohstoffen, was angesichts dieser Ziele von großer Bedeutung sein wird.</w:t>
      </w:r>
    </w:p>
    <w:p w:rsidR="06D415E4" w:rsidP="7DBBD6B3" w:rsidRDefault="196756C7" w14:paraId="67D5BB13" w14:textId="544B3131">
      <w:pPr>
        <w:spacing w:before="240" w:after="240" w:line="268" w:lineRule="auto"/>
        <w:jc w:val="both"/>
      </w:pPr>
      <w:r>
        <w:t>"</w:t>
      </w:r>
      <w:r w:rsidRPr="41AEAAFA">
        <w:rPr>
          <w:i/>
          <w:iCs/>
        </w:rPr>
        <w:t>Wir freuen uns, dass China und Europa auf dem Gebiet der neuen Energien zusammenarbeiten. Ich denke, dass das Recycling von Altbatterien in der nahen Zukunft ein großes Thema werden wird, über das sowohl die Branche der neuen Energien in Europa als auch die Gesellschaft als Ganzes nachdenken müssen"</w:t>
      </w:r>
      <w:r>
        <w:t xml:space="preserve">, erklärt </w:t>
      </w:r>
      <w:proofErr w:type="spellStart"/>
      <w:r>
        <w:t>Yu</w:t>
      </w:r>
      <w:proofErr w:type="spellEnd"/>
      <w:r>
        <w:t xml:space="preserve"> Haijun.</w:t>
      </w:r>
    </w:p>
    <w:p w:rsidRPr="00104E5A" w:rsidR="009F4C54" w:rsidP="7C564B88" w:rsidRDefault="000C2591" w14:paraId="26759760" w14:textId="33FE7D21">
      <w:pPr>
        <w:jc w:val="both"/>
        <w:rPr>
          <w:color w:val="000000" w:themeColor="text1"/>
        </w:rPr>
      </w:pPr>
      <w:r w:rsidR="000C2591">
        <w:rPr/>
        <w:t xml:space="preserve">Das Team aus </w:t>
      </w:r>
      <w:r w:rsidR="000C2591">
        <w:rPr/>
        <w:t>Yu</w:t>
      </w:r>
      <w:r w:rsidR="000C2591">
        <w:rPr/>
        <w:t xml:space="preserve"> </w:t>
      </w:r>
      <w:r w:rsidR="000C2591">
        <w:rPr/>
        <w:t>Haijun</w:t>
      </w:r>
      <w:r w:rsidR="000C2591">
        <w:rPr/>
        <w:t xml:space="preserve"> und Xie </w:t>
      </w:r>
      <w:r w:rsidR="000C2591">
        <w:rPr/>
        <w:t>Yinghao</w:t>
      </w:r>
      <w:r w:rsidR="000C2591">
        <w:rPr/>
        <w:t xml:space="preserve"> ist einer von drei Finalist</w:t>
      </w:r>
      <w:r w:rsidRPr="01042694" w:rsidR="00671AB1">
        <w:rPr>
          <w:color w:val="000000" w:themeColor="text1" w:themeTint="FF" w:themeShade="FF"/>
        </w:rPr>
        <w:t>(</w:t>
      </w:r>
      <w:r w:rsidRPr="01042694" w:rsidR="00671AB1">
        <w:rPr>
          <w:color w:val="000000" w:themeColor="text1" w:themeTint="FF" w:themeShade="FF"/>
        </w:rPr>
        <w:t>inn</w:t>
      </w:r>
      <w:r w:rsidRPr="01042694" w:rsidR="00671AB1">
        <w:rPr>
          <w:color w:val="000000" w:themeColor="text1" w:themeTint="FF" w:themeShade="FF"/>
        </w:rPr>
        <w:t>)</w:t>
      </w:r>
      <w:r w:rsidR="000C2591">
        <w:rPr/>
        <w:t xml:space="preserve">en in der Kategorie "Nicht-EPO-Staaten" beim Europäischen Erfinderpreis 2026. </w:t>
      </w:r>
      <w:r w:rsidRPr="01042694" w:rsidR="000C2591">
        <w:rPr>
          <w:color w:val="000000" w:themeColor="text1" w:themeTint="FF" w:themeShade="FF"/>
        </w:rPr>
        <w:t>Die weiteren Finalist</w:t>
      </w:r>
      <w:r w:rsidRPr="01042694" w:rsidR="000C2591">
        <w:rPr>
          <w:color w:val="000000" w:themeColor="text1" w:themeTint="FF" w:themeShade="FF"/>
        </w:rPr>
        <w:t>(</w:t>
      </w:r>
      <w:r w:rsidRPr="01042694" w:rsidR="000C2591">
        <w:rPr>
          <w:color w:val="000000" w:themeColor="text1" w:themeTint="FF" w:themeShade="FF"/>
        </w:rPr>
        <w:t>inn</w:t>
      </w:r>
      <w:r w:rsidRPr="01042694" w:rsidR="000C2591">
        <w:rPr>
          <w:color w:val="000000" w:themeColor="text1" w:themeTint="FF" w:themeShade="FF"/>
        </w:rPr>
        <w:t xml:space="preserve">)en in </w:t>
      </w:r>
      <w:r w:rsidRPr="01042694" w:rsidR="000C2591">
        <w:rPr>
          <w:color w:val="000000" w:themeColor="text1" w:themeTint="FF" w:themeShade="FF"/>
        </w:rPr>
        <w:t>d</w:t>
      </w:r>
      <w:r w:rsidRPr="01042694" w:rsidR="097668B6">
        <w:rPr>
          <w:color w:val="000000" w:themeColor="text1" w:themeTint="FF" w:themeShade="FF"/>
        </w:rPr>
        <w:t>ies</w:t>
      </w:r>
      <w:r w:rsidRPr="01042694" w:rsidR="000C2591">
        <w:rPr>
          <w:color w:val="000000" w:themeColor="text1" w:themeTint="FF" w:themeShade="FF"/>
        </w:rPr>
        <w:t xml:space="preserve">er Kategorie sind </w:t>
      </w:r>
      <w:r w:rsidRPr="01042694" w:rsidR="52377700">
        <w:rPr>
          <w:color w:val="000000" w:themeColor="text1" w:themeTint="FF" w:themeShade="FF"/>
        </w:rPr>
        <w:t xml:space="preserve">der chilenische Agraringenieur </w:t>
      </w:r>
      <w:r w:rsidRPr="01042694" w:rsidR="52377700">
        <w:rPr>
          <w:rFonts w:eastAsia="Arial"/>
          <w:color w:val="000000" w:themeColor="text1" w:themeTint="FF" w:themeShade="FF"/>
        </w:rPr>
        <w:t xml:space="preserve">Aníbal </w:t>
      </w:r>
      <w:r w:rsidRPr="01042694" w:rsidR="52377700">
        <w:rPr>
          <w:rFonts w:eastAsia="Arial"/>
          <w:color w:val="000000" w:themeColor="text1" w:themeTint="FF" w:themeShade="FF"/>
        </w:rPr>
        <w:t>Montalva</w:t>
      </w:r>
      <w:r w:rsidRPr="01042694" w:rsidR="52377700">
        <w:rPr>
          <w:rFonts w:eastAsia="Arial"/>
          <w:color w:val="000000" w:themeColor="text1" w:themeTint="FF" w:themeShade="FF"/>
        </w:rPr>
        <w:t xml:space="preserve"> Rodríguez und Architekt Miguel Ángel Fernández Donoso </w:t>
      </w:r>
      <w:r w:rsidRPr="01042694" w:rsidR="71050AE4">
        <w:rPr>
          <w:rFonts w:eastAsia="Arial"/>
          <w:color w:val="000000" w:themeColor="text1" w:themeTint="FF" w:themeShade="FF"/>
        </w:rPr>
        <w:t xml:space="preserve">mit </w:t>
      </w:r>
      <w:r w:rsidRPr="01042694" w:rsidR="7F619796">
        <w:rPr>
          <w:rFonts w:eastAsia="Arial"/>
          <w:color w:val="000000" w:themeColor="text1" w:themeTint="FF" w:themeShade="FF"/>
        </w:rPr>
        <w:t>einem</w:t>
      </w:r>
      <w:r w:rsidRPr="01042694" w:rsidR="71050AE4">
        <w:rPr>
          <w:rFonts w:eastAsia="Arial"/>
          <w:color w:val="000000" w:themeColor="text1" w:themeTint="FF" w:themeShade="FF"/>
        </w:rPr>
        <w:t xml:space="preserve"> Biofilter zur Luftverbesserung sowie die US-amerikanische Erfinderin</w:t>
      </w:r>
      <w:r w:rsidRPr="01042694" w:rsidR="5CE2EDD9">
        <w:rPr>
          <w:rFonts w:eastAsia="Arial"/>
          <w:color w:val="000000" w:themeColor="text1" w:themeTint="FF" w:themeShade="FF"/>
        </w:rPr>
        <w:t xml:space="preserve"> </w:t>
      </w:r>
      <w:r w:rsidRPr="01042694" w:rsidR="52377700">
        <w:rPr>
          <w:rFonts w:eastAsia="Arial"/>
          <w:color w:val="000000" w:themeColor="text1" w:themeTint="FF" w:themeShade="FF"/>
        </w:rPr>
        <w:t xml:space="preserve">Emily Morris </w:t>
      </w:r>
      <w:r w:rsidRPr="01042694" w:rsidR="7623A860">
        <w:rPr>
          <w:rFonts w:eastAsia="Arial"/>
          <w:color w:val="000000" w:themeColor="text1" w:themeTint="FF" w:themeShade="FF"/>
        </w:rPr>
        <w:t>u</w:t>
      </w:r>
      <w:r w:rsidRPr="01042694" w:rsidR="52377700">
        <w:rPr>
          <w:rFonts w:eastAsia="Arial"/>
          <w:color w:val="000000" w:themeColor="text1" w:themeTint="FF" w:themeShade="FF"/>
        </w:rPr>
        <w:t xml:space="preserve">nd </w:t>
      </w:r>
      <w:r w:rsidRPr="01042694" w:rsidR="52E4470A">
        <w:rPr>
          <w:rFonts w:eastAsia="Arial"/>
          <w:color w:val="000000" w:themeColor="text1" w:themeTint="FF" w:themeShade="FF"/>
        </w:rPr>
        <w:t xml:space="preserve">der deutsche Professor </w:t>
      </w:r>
      <w:r w:rsidRPr="01042694" w:rsidR="52377700">
        <w:rPr>
          <w:rFonts w:eastAsia="Arial"/>
          <w:color w:val="000000" w:themeColor="text1" w:themeTint="FF" w:themeShade="FF"/>
        </w:rPr>
        <w:t xml:space="preserve">Thorsten </w:t>
      </w:r>
      <w:r w:rsidRPr="01042694" w:rsidR="52377700">
        <w:rPr>
          <w:rFonts w:eastAsia="Arial"/>
          <w:color w:val="000000" w:themeColor="text1" w:themeTint="FF" w:themeShade="FF"/>
        </w:rPr>
        <w:t>Stoesser</w:t>
      </w:r>
      <w:r w:rsidRPr="01042694" w:rsidR="52377700">
        <w:rPr>
          <w:rFonts w:eastAsia="Arial"/>
          <w:color w:val="000000" w:themeColor="text1" w:themeTint="FF" w:themeShade="FF"/>
        </w:rPr>
        <w:t xml:space="preserve"> f</w:t>
      </w:r>
      <w:r w:rsidRPr="01042694" w:rsidR="2EB6D527">
        <w:rPr>
          <w:rFonts w:eastAsia="Arial"/>
          <w:color w:val="000000" w:themeColor="text1" w:themeTint="FF" w:themeShade="FF"/>
        </w:rPr>
        <w:t>ür ein modulares Wasserkraftsystem</w:t>
      </w:r>
      <w:r w:rsidRPr="01042694" w:rsidR="000C2591">
        <w:rPr>
          <w:color w:val="000000" w:themeColor="text1" w:themeTint="FF" w:themeShade="FF"/>
        </w:rPr>
        <w:t xml:space="preserve">. Das Europäische Patentamt wird die Gewinnerinnen und Gewinner am 2. Juli 2026 im Rahmen einer </w:t>
      </w:r>
      <w:r w:rsidRPr="01042694" w:rsidR="0BFC765B">
        <w:rPr>
          <w:color w:val="000000" w:themeColor="text1" w:themeTint="FF" w:themeShade="FF"/>
        </w:rPr>
        <w:t xml:space="preserve">aus Berlin </w:t>
      </w:r>
      <w:r w:rsidRPr="01042694" w:rsidR="000C2591">
        <w:rPr>
          <w:color w:val="000000" w:themeColor="text1" w:themeTint="FF" w:themeShade="FF"/>
        </w:rPr>
        <w:t xml:space="preserve">per </w:t>
      </w:r>
      <w:hyperlink r:id="R5bbd64c55d644ec6">
        <w:r w:rsidRPr="01042694" w:rsidR="000C2591">
          <w:rPr>
            <w:rStyle w:val="Hyperlink"/>
          </w:rPr>
          <w:t>Livestream</w:t>
        </w:r>
      </w:hyperlink>
      <w:r w:rsidRPr="01042694" w:rsidR="000C2591">
        <w:rPr>
          <w:color w:val="000000" w:themeColor="text1" w:themeTint="FF" w:themeShade="FF"/>
        </w:rPr>
        <w:t xml:space="preserve"> übertragenen Preisverleihung</w:t>
      </w:r>
      <w:r w:rsidRPr="01042694" w:rsidR="000C2591">
        <w:rPr>
          <w:color w:val="000000" w:themeColor="text1" w:themeTint="FF" w:themeShade="FF"/>
        </w:rPr>
        <w:t xml:space="preserve"> bekannt geben. Zusätzlich zu den </w:t>
      </w:r>
      <w:r w:rsidRPr="01042694" w:rsidR="344F831B">
        <w:rPr>
          <w:color w:val="000000" w:themeColor="text1" w:themeTint="FF" w:themeShade="FF"/>
        </w:rPr>
        <w:t>vier Award-</w:t>
      </w:r>
      <w:r w:rsidRPr="01042694" w:rsidR="000C2591">
        <w:rPr>
          <w:color w:val="000000" w:themeColor="text1" w:themeTint="FF" w:themeShade="FF"/>
        </w:rPr>
        <w:t>Kategorien wird es einen Publikumspreis geben, der durch eine kombinierte Abstimmung der Öffentlichkeit und der unabhängigen Jury vergeben wird. Die öffentliche Abstimmung startet am 12. Mai 2026 und wird bis zur Preisverleihung am 2. Juli 2026 laufen.</w:t>
      </w:r>
    </w:p>
    <w:p w:rsidRPr="000C2591" w:rsidR="009F4C54" w:rsidP="7DBBD6B3" w:rsidRDefault="005C75A0" w14:paraId="6A46D8AE" w14:textId="293A7C3F">
      <w:pPr>
        <w:spacing w:line="240" w:lineRule="auto"/>
        <w:jc w:val="both"/>
        <w:rPr>
          <w:color w:val="00000A"/>
        </w:rPr>
      </w:pPr>
      <w:r>
        <w:br/>
      </w:r>
      <w:r w:rsidRPr="01042694" w:rsidR="005C75A0">
        <w:rPr>
          <w:rStyle w:val="normaltextrun"/>
          <w:color w:val="00000A"/>
        </w:rPr>
        <w:t xml:space="preserve">Weitere Informationen über die Technologien, ihre Auswirkungen und die Erfinderinnen und Erfinder finden Sie </w:t>
      </w:r>
      <w:hyperlink r:id="R73f7ed82a54c48e9">
        <w:r w:rsidRPr="01042694" w:rsidR="005C75A0">
          <w:rPr>
            <w:rStyle w:val="Hyperlink"/>
          </w:rPr>
          <w:t>hier</w:t>
        </w:r>
      </w:hyperlink>
      <w:r w:rsidRPr="01042694" w:rsidR="005C75A0">
        <w:rPr>
          <w:rStyle w:val="normaltextrun"/>
          <w:color w:val="00000A"/>
        </w:rPr>
        <w:t>. </w:t>
      </w:r>
    </w:p>
    <w:p w:rsidRPr="000C2591" w:rsidR="009F4C54" w:rsidP="7DBBD6B3" w:rsidRDefault="7AA5E0B0" w14:paraId="3B17C7D0" w14:textId="5DD52CD0">
      <w:pPr>
        <w:spacing w:line="240" w:lineRule="auto"/>
        <w:jc w:val="both"/>
        <w:rPr>
          <w:color w:val="00000A"/>
        </w:rPr>
      </w:pPr>
      <w:r>
        <w:rPr>
          <w:rStyle w:val="eop"/>
          <w:color w:val="00000A"/>
        </w:rPr>
        <w:t> </w:t>
      </w:r>
    </w:p>
    <w:p w:rsidRPr="000C2591" w:rsidR="009F4C54" w:rsidP="7DBBD6B3" w:rsidRDefault="7AA5E0B0" w14:paraId="5007B51B" w14:textId="1F645665">
      <w:pPr>
        <w:spacing w:line="240" w:lineRule="auto"/>
        <w:jc w:val="both"/>
        <w:rPr>
          <w:color w:val="00000A"/>
        </w:rPr>
      </w:pPr>
      <w:r w:rsidRPr="01042694" w:rsidR="7AA5E0B0">
        <w:rPr>
          <w:rStyle w:val="eop"/>
          <w:color w:val="00000A"/>
        </w:rPr>
        <w:t> </w:t>
      </w:r>
    </w:p>
    <w:p w:rsidR="548F897A" w:rsidP="01042694" w:rsidRDefault="548F897A" w14:paraId="2F4A642D" w14:textId="37AB7B09">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01042694" w:rsidR="548F897A">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548F897A" w:rsidP="01042694" w:rsidRDefault="548F897A" w14:paraId="508D01D9" w14:textId="1FE5E88A">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01042694" w:rsidR="548F897A">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01042694" w:rsidR="548F897A">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548F897A" w:rsidP="01042694" w:rsidRDefault="548F897A" w14:paraId="5E047B3D" w14:textId="6CAB9372">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01042694" w:rsidR="548F897A">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548F897A" w:rsidP="01042694" w:rsidRDefault="548F897A" w14:paraId="11844292" w14:textId="1A952027">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0887c9dca31e4174">
        <w:r w:rsidRPr="01042694" w:rsidR="548F897A">
          <w:rPr>
            <w:rStyle w:val="Hyperlink"/>
            <w:rFonts w:ascii="Arial" w:hAnsi="Arial" w:eastAsia="Arial" w:cs="Arial"/>
            <w:b w:val="0"/>
            <w:bCs w:val="0"/>
            <w:i w:val="0"/>
            <w:iCs w:val="0"/>
            <w:caps w:val="0"/>
            <w:smallCaps w:val="0"/>
            <w:strike w:val="0"/>
            <w:dstrike w:val="0"/>
            <w:noProof w:val="0"/>
            <w:sz w:val="20"/>
            <w:szCs w:val="20"/>
            <w:lang w:val="de-DE"/>
          </w:rPr>
          <w:t>press@epo.org</w:t>
        </w:r>
      </w:hyperlink>
      <w:r>
        <w:br/>
      </w:r>
      <w:r w:rsidRPr="01042694" w:rsidR="548F897A">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548F897A" w:rsidP="01042694" w:rsidRDefault="548F897A" w14:paraId="09CB3D72" w14:textId="39F1C14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01042694" w:rsidR="548F897A">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548F897A" w:rsidP="01042694" w:rsidRDefault="548F897A" w14:paraId="1CA973D0" w14:textId="4AC20AC2">
      <w:pPr>
        <w:spacing w:line="240" w:lineRule="auto"/>
        <w:jc w:val="both"/>
        <w:rPr>
          <w:rFonts w:ascii="Arial" w:hAnsi="Arial" w:eastAsia="Arial" w:cs="Arial"/>
          <w:b w:val="0"/>
          <w:bCs w:val="0"/>
          <w:i w:val="0"/>
          <w:iCs w:val="0"/>
          <w:caps w:val="0"/>
          <w:smallCaps w:val="0"/>
          <w:noProof w:val="0"/>
          <w:color w:val="FB0007"/>
          <w:sz w:val="18"/>
          <w:szCs w:val="18"/>
          <w:lang w:val="de-DE"/>
        </w:rPr>
      </w:pPr>
      <w:r w:rsidRPr="01042694" w:rsidR="548F897A">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01042694" w:rsidR="548F897A">
        <w:rPr>
          <w:rFonts w:ascii="Arial" w:hAnsi="Arial" w:eastAsia="Arial" w:cs="Arial"/>
          <w:b w:val="0"/>
          <w:bCs w:val="0"/>
          <w:i w:val="0"/>
          <w:iCs w:val="0"/>
          <w:caps w:val="0"/>
          <w:smallCaps w:val="0"/>
          <w:noProof w:val="0"/>
          <w:color w:val="FB0007"/>
          <w:sz w:val="18"/>
          <w:szCs w:val="18"/>
          <w:lang w:val="de-DE"/>
        </w:rPr>
        <w:t> </w:t>
      </w:r>
      <w:r w:rsidRPr="01042694" w:rsidR="548F897A">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557adfb936ac4ed7">
        <w:r w:rsidRPr="01042694" w:rsidR="548F897A">
          <w:rPr>
            <w:rStyle w:val="Hyperlink"/>
            <w:rFonts w:ascii="Arial" w:hAnsi="Arial" w:eastAsia="Arial" w:cs="Arial"/>
            <w:b w:val="0"/>
            <w:bCs w:val="0"/>
            <w:i w:val="0"/>
            <w:iCs w:val="0"/>
            <w:caps w:val="0"/>
            <w:smallCaps w:val="0"/>
            <w:strike w:val="0"/>
            <w:dstrike w:val="0"/>
            <w:noProof w:val="0"/>
            <w:sz w:val="18"/>
            <w:szCs w:val="18"/>
            <w:lang w:val="de-DE"/>
          </w:rPr>
          <w:t>Hier</w:t>
        </w:r>
      </w:hyperlink>
      <w:r w:rsidRPr="01042694" w:rsidR="548F897A">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01042694" w:rsidR="548F897A">
        <w:rPr>
          <w:rFonts w:ascii="Arial" w:hAnsi="Arial" w:eastAsia="Arial" w:cs="Arial"/>
          <w:b w:val="0"/>
          <w:bCs w:val="0"/>
          <w:i w:val="0"/>
          <w:iCs w:val="0"/>
          <w:caps w:val="0"/>
          <w:smallCaps w:val="0"/>
          <w:noProof w:val="0"/>
          <w:color w:val="FB0007"/>
          <w:sz w:val="18"/>
          <w:szCs w:val="18"/>
          <w:lang w:val="de-DE"/>
        </w:rPr>
        <w:t>    </w:t>
      </w:r>
    </w:p>
    <w:p w:rsidR="01042694" w:rsidP="01042694" w:rsidRDefault="01042694" w14:paraId="25337D13" w14:textId="5B67E8BE">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548F897A" w:rsidP="01042694" w:rsidRDefault="548F897A" w14:paraId="37953E77" w14:textId="56DD9063">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01042694" w:rsidR="548F897A">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548F897A" w:rsidP="01042694" w:rsidRDefault="548F897A" w14:paraId="4EE9223B" w14:textId="0AE06B4A">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01042694" w:rsidR="548F897A">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82fe92c60cf84d51">
        <w:r w:rsidRPr="01042694" w:rsidR="548F897A">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01042694" w:rsidR="548F897A">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01042694" w:rsidP="01042694" w:rsidRDefault="01042694" w14:paraId="0DC4824C" w14:textId="09D7CDFF">
      <w:pPr>
        <w:spacing w:line="240" w:lineRule="auto"/>
        <w:jc w:val="both"/>
        <w:rPr>
          <w:rStyle w:val="normaltextrun"/>
          <w:color w:val="000000" w:themeColor="text1" w:themeTint="FF" w:themeShade="FF"/>
          <w:sz w:val="18"/>
          <w:szCs w:val="18"/>
        </w:rPr>
      </w:pPr>
    </w:p>
    <w:sectPr w:rsidRPr="00F53B73" w:rsidR="7DBBD6B3">
      <w:pgSz w:w="11909" w:h="16834" w:orient="portrait"/>
      <w:pgMar w:top="1440" w:right="1440" w:bottom="1440" w:left="1440" w:header="720" w:footer="720" w:gutter="0"/>
      <w:pgNumType w:start="1"/>
      <w:cols w:space="720"/>
      <w:headerReference w:type="default" r:id="Ra8aff07f23204294"/>
      <w:footerReference w:type="default" r:id="Rd98eebee46e44f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4ED6" w:rsidP="00461F27" w:rsidRDefault="00524ED6" w14:paraId="76D79A2B" w14:textId="77777777">
      <w:pPr>
        <w:spacing w:line="240" w:lineRule="auto"/>
      </w:pPr>
      <w:r>
        <w:separator/>
      </w:r>
    </w:p>
  </w:endnote>
  <w:endnote w:type="continuationSeparator" w:id="0">
    <w:p w:rsidR="00524ED6" w:rsidP="00461F27" w:rsidRDefault="00524ED6" w14:paraId="3336674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w:fontKey="{59CE78CD-D01B-4784-A1E4-B2E8E68D080D}" r:id="rId1"/>
  </w:font>
  <w:font w:name="Cambria">
    <w:panose1 w:val="02040503050406030204"/>
    <w:charset w:val="00"/>
    <w:family w:val="roman"/>
    <w:pitch w:val="variable"/>
    <w:sig w:usb0="E00006FF" w:usb1="420024FF" w:usb2="02000000" w:usb3="00000000" w:csb0="0000019F" w:csb1="00000000"/>
    <w:embedRegular w:fontKey="{0B1313C8-9187-4450-8A7B-77EDF849AF65}" r:id="rId2"/>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EAFB7B5" w:rsidTr="7EAFB7B5" w14:paraId="5043457A">
      <w:trPr>
        <w:trHeight w:val="300"/>
      </w:trPr>
      <w:tc>
        <w:tcPr>
          <w:tcW w:w="3005" w:type="dxa"/>
          <w:tcMar/>
        </w:tcPr>
        <w:p w:rsidR="7EAFB7B5" w:rsidP="7EAFB7B5" w:rsidRDefault="7EAFB7B5" w14:paraId="2C562E0C" w14:textId="5521351E">
          <w:pPr>
            <w:pStyle w:val="Header"/>
            <w:bidi w:val="0"/>
            <w:ind w:left="-115"/>
            <w:jc w:val="left"/>
          </w:pPr>
        </w:p>
      </w:tc>
      <w:tc>
        <w:tcPr>
          <w:tcW w:w="3005" w:type="dxa"/>
          <w:tcMar/>
        </w:tcPr>
        <w:p w:rsidR="7EAFB7B5" w:rsidP="7EAFB7B5" w:rsidRDefault="7EAFB7B5" w14:paraId="2E3F9803" w14:textId="03F1E1F2">
          <w:pPr>
            <w:pStyle w:val="Header"/>
            <w:bidi w:val="0"/>
            <w:jc w:val="center"/>
          </w:pPr>
        </w:p>
      </w:tc>
      <w:tc>
        <w:tcPr>
          <w:tcW w:w="3005" w:type="dxa"/>
          <w:tcMar/>
        </w:tcPr>
        <w:p w:rsidR="7EAFB7B5" w:rsidP="7EAFB7B5" w:rsidRDefault="7EAFB7B5" w14:paraId="0174E3D6" w14:textId="09F1028A">
          <w:pPr>
            <w:pStyle w:val="Header"/>
            <w:bidi w:val="0"/>
            <w:ind w:right="-115"/>
            <w:jc w:val="right"/>
          </w:pPr>
        </w:p>
      </w:tc>
    </w:tr>
  </w:tbl>
  <w:p w:rsidR="7EAFB7B5" w:rsidP="7EAFB7B5" w:rsidRDefault="7EAFB7B5" w14:paraId="2A4E7C34" w14:textId="3E516005">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4ED6" w:rsidP="00461F27" w:rsidRDefault="00524ED6" w14:paraId="2E4E5454" w14:textId="77777777">
      <w:pPr>
        <w:spacing w:line="240" w:lineRule="auto"/>
      </w:pPr>
      <w:r>
        <w:separator/>
      </w:r>
    </w:p>
  </w:footnote>
  <w:footnote w:type="continuationSeparator" w:id="0">
    <w:p w:rsidR="00524ED6" w:rsidP="00461F27" w:rsidRDefault="00524ED6" w14:paraId="14A4826F" w14:textId="77777777">
      <w:pPr>
        <w:spacing w:line="240" w:lineRule="auto"/>
      </w:pPr>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EAFB7B5" w:rsidTr="7EAFB7B5" w14:paraId="2F52990D">
      <w:trPr>
        <w:trHeight w:val="300"/>
      </w:trPr>
      <w:tc>
        <w:tcPr>
          <w:tcW w:w="3005" w:type="dxa"/>
          <w:tcMar/>
        </w:tcPr>
        <w:p w:rsidR="7EAFB7B5" w:rsidP="7EAFB7B5" w:rsidRDefault="7EAFB7B5" w14:paraId="5614CC36" w14:textId="4BA0C70E">
          <w:pPr>
            <w:pStyle w:val="Normal"/>
            <w:bidi w:val="0"/>
          </w:pPr>
          <w:r w:rsidR="7EAFB7B5">
            <w:drawing>
              <wp:inline wp14:editId="252E5289" wp14:anchorId="05BC96C2">
                <wp:extent cx="1771650" cy="666750"/>
                <wp:effectExtent l="0" t="0" r="0" b="0"/>
                <wp:docPr id="10983937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098393712" name="Picture 1098393712"/>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380970439">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771650" cy="666750"/>
                        </a:xfrm>
                        <a:prstGeom xmlns:a="http://schemas.openxmlformats.org/drawingml/2006/main" prst="rect">
                          <a:avLst xmlns:a="http://schemas.openxmlformats.org/drawingml/2006/main"/>
                        </a:prstGeom>
                      </pic:spPr>
                    </pic:pic>
                  </a:graphicData>
                </a:graphic>
              </wp:inline>
            </w:drawing>
          </w:r>
        </w:p>
      </w:tc>
      <w:tc>
        <w:tcPr>
          <w:tcW w:w="3005" w:type="dxa"/>
          <w:tcMar/>
        </w:tcPr>
        <w:p w:rsidR="7EAFB7B5" w:rsidP="7EAFB7B5" w:rsidRDefault="7EAFB7B5" w14:paraId="7892D515" w14:textId="2105B613">
          <w:pPr>
            <w:pStyle w:val="Normal"/>
            <w:bidi w:val="0"/>
          </w:pPr>
        </w:p>
      </w:tc>
      <w:tc>
        <w:tcPr>
          <w:tcW w:w="3005" w:type="dxa"/>
          <w:tcMar/>
        </w:tcPr>
        <w:p w:rsidR="7EAFB7B5" w:rsidP="7EAFB7B5" w:rsidRDefault="7EAFB7B5" w14:paraId="2782CCCB" w14:textId="1E19736E">
          <w:pPr>
            <w:pStyle w:val="Normal"/>
            <w:bidi w:val="0"/>
          </w:pPr>
        </w:p>
      </w:tc>
    </w:tr>
  </w:tbl>
  <w:p w:rsidR="7EAFB7B5" w:rsidP="7EAFB7B5" w:rsidRDefault="7EAFB7B5" w14:paraId="5A781862" w14:textId="13C6A93E">
    <w:pPr>
      <w:pStyle w:val="Normal"/>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73FF0"/>
    <w:multiLevelType w:val="multilevel"/>
    <w:tmpl w:val="199E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1603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C54"/>
    <w:rsid w:val="0007990D"/>
    <w:rsid w:val="00081CFC"/>
    <w:rsid w:val="000C2591"/>
    <w:rsid w:val="00104E5A"/>
    <w:rsid w:val="00180D74"/>
    <w:rsid w:val="00217914"/>
    <w:rsid w:val="00250165"/>
    <w:rsid w:val="00271E26"/>
    <w:rsid w:val="0031584C"/>
    <w:rsid w:val="003727AB"/>
    <w:rsid w:val="003965AA"/>
    <w:rsid w:val="004166AB"/>
    <w:rsid w:val="00435DD3"/>
    <w:rsid w:val="00440574"/>
    <w:rsid w:val="00461F27"/>
    <w:rsid w:val="0047560A"/>
    <w:rsid w:val="0047609C"/>
    <w:rsid w:val="004C294B"/>
    <w:rsid w:val="00524ED6"/>
    <w:rsid w:val="00557690"/>
    <w:rsid w:val="005C75A0"/>
    <w:rsid w:val="005F6F8D"/>
    <w:rsid w:val="00660934"/>
    <w:rsid w:val="00666459"/>
    <w:rsid w:val="00671AB1"/>
    <w:rsid w:val="0069352A"/>
    <w:rsid w:val="006A098E"/>
    <w:rsid w:val="006B67AF"/>
    <w:rsid w:val="007225DE"/>
    <w:rsid w:val="00788D72"/>
    <w:rsid w:val="007A3131"/>
    <w:rsid w:val="007E7B32"/>
    <w:rsid w:val="00822D93"/>
    <w:rsid w:val="00834E91"/>
    <w:rsid w:val="00851D51"/>
    <w:rsid w:val="008E7E25"/>
    <w:rsid w:val="009C0763"/>
    <w:rsid w:val="009F4C54"/>
    <w:rsid w:val="00A24EB5"/>
    <w:rsid w:val="00AB6925"/>
    <w:rsid w:val="00B54A5B"/>
    <w:rsid w:val="00B722E9"/>
    <w:rsid w:val="00BD7302"/>
    <w:rsid w:val="00C0D85F"/>
    <w:rsid w:val="00C53FF2"/>
    <w:rsid w:val="00E17D29"/>
    <w:rsid w:val="00E84D2C"/>
    <w:rsid w:val="00EC13A7"/>
    <w:rsid w:val="00F53B73"/>
    <w:rsid w:val="00F6581C"/>
    <w:rsid w:val="00FA63A1"/>
    <w:rsid w:val="01042694"/>
    <w:rsid w:val="03692429"/>
    <w:rsid w:val="03864A2B"/>
    <w:rsid w:val="047EFD8C"/>
    <w:rsid w:val="068A1D9B"/>
    <w:rsid w:val="06D415E4"/>
    <w:rsid w:val="08027DB8"/>
    <w:rsid w:val="083FAFB5"/>
    <w:rsid w:val="08BB0729"/>
    <w:rsid w:val="09397DB8"/>
    <w:rsid w:val="097668B6"/>
    <w:rsid w:val="0995F28E"/>
    <w:rsid w:val="09986BC5"/>
    <w:rsid w:val="0A37D65C"/>
    <w:rsid w:val="0A8E02AE"/>
    <w:rsid w:val="0B3EBF76"/>
    <w:rsid w:val="0BFC765B"/>
    <w:rsid w:val="0CCCE658"/>
    <w:rsid w:val="0D9413B4"/>
    <w:rsid w:val="0E00D141"/>
    <w:rsid w:val="0F432D08"/>
    <w:rsid w:val="0F7D45CF"/>
    <w:rsid w:val="0FEAC64F"/>
    <w:rsid w:val="102FE3AC"/>
    <w:rsid w:val="10C5EB5A"/>
    <w:rsid w:val="10CB42DD"/>
    <w:rsid w:val="11EDE3B9"/>
    <w:rsid w:val="12035C60"/>
    <w:rsid w:val="1218B5BB"/>
    <w:rsid w:val="1286A61E"/>
    <w:rsid w:val="152F2B29"/>
    <w:rsid w:val="154EE225"/>
    <w:rsid w:val="161471A5"/>
    <w:rsid w:val="179EC657"/>
    <w:rsid w:val="196756C7"/>
    <w:rsid w:val="1AABFAFF"/>
    <w:rsid w:val="1B773D31"/>
    <w:rsid w:val="1BFDEE72"/>
    <w:rsid w:val="1C320178"/>
    <w:rsid w:val="1D13C463"/>
    <w:rsid w:val="1D491320"/>
    <w:rsid w:val="1D9AF843"/>
    <w:rsid w:val="1DB97B51"/>
    <w:rsid w:val="1EBAB90A"/>
    <w:rsid w:val="1EFC52B4"/>
    <w:rsid w:val="1FBC2639"/>
    <w:rsid w:val="20C3AF86"/>
    <w:rsid w:val="215D1138"/>
    <w:rsid w:val="216F38ED"/>
    <w:rsid w:val="219D5BB6"/>
    <w:rsid w:val="21FF0F50"/>
    <w:rsid w:val="222AD794"/>
    <w:rsid w:val="22F8713B"/>
    <w:rsid w:val="25F3B8CA"/>
    <w:rsid w:val="267B8DEC"/>
    <w:rsid w:val="279C404B"/>
    <w:rsid w:val="282778FD"/>
    <w:rsid w:val="28AE4B99"/>
    <w:rsid w:val="28BEE771"/>
    <w:rsid w:val="28E4C5D6"/>
    <w:rsid w:val="29B04324"/>
    <w:rsid w:val="2A80E98C"/>
    <w:rsid w:val="2AA9181F"/>
    <w:rsid w:val="2CF7D301"/>
    <w:rsid w:val="2E266D22"/>
    <w:rsid w:val="2EB6D527"/>
    <w:rsid w:val="2ECD3846"/>
    <w:rsid w:val="2F75EACA"/>
    <w:rsid w:val="3102BDB9"/>
    <w:rsid w:val="31B820A6"/>
    <w:rsid w:val="32871C18"/>
    <w:rsid w:val="33D1ED3D"/>
    <w:rsid w:val="33DBDB7C"/>
    <w:rsid w:val="342847EB"/>
    <w:rsid w:val="344F831B"/>
    <w:rsid w:val="3491EF59"/>
    <w:rsid w:val="34B387A8"/>
    <w:rsid w:val="34EC2193"/>
    <w:rsid w:val="35C2712C"/>
    <w:rsid w:val="36024EE3"/>
    <w:rsid w:val="3627336E"/>
    <w:rsid w:val="36686B99"/>
    <w:rsid w:val="378068BA"/>
    <w:rsid w:val="385D2AD7"/>
    <w:rsid w:val="386F89DF"/>
    <w:rsid w:val="3A0F8EB6"/>
    <w:rsid w:val="3A93D08F"/>
    <w:rsid w:val="3AD77E8D"/>
    <w:rsid w:val="3C6FBBA1"/>
    <w:rsid w:val="3D3AD7B0"/>
    <w:rsid w:val="3DA369C0"/>
    <w:rsid w:val="3DBEB476"/>
    <w:rsid w:val="3DCD9345"/>
    <w:rsid w:val="3E95DF76"/>
    <w:rsid w:val="3E9EB72A"/>
    <w:rsid w:val="3EDBA5EA"/>
    <w:rsid w:val="3F20DD01"/>
    <w:rsid w:val="3F7609B8"/>
    <w:rsid w:val="3FB2EBDB"/>
    <w:rsid w:val="3FCC235C"/>
    <w:rsid w:val="4157191E"/>
    <w:rsid w:val="41AEAAFA"/>
    <w:rsid w:val="43325BE2"/>
    <w:rsid w:val="438C01A7"/>
    <w:rsid w:val="4406C4AE"/>
    <w:rsid w:val="455A46D8"/>
    <w:rsid w:val="45640F33"/>
    <w:rsid w:val="463A8236"/>
    <w:rsid w:val="4656528D"/>
    <w:rsid w:val="46B5E606"/>
    <w:rsid w:val="47637996"/>
    <w:rsid w:val="478A313E"/>
    <w:rsid w:val="483AAA67"/>
    <w:rsid w:val="484511B1"/>
    <w:rsid w:val="494670B2"/>
    <w:rsid w:val="4B14F157"/>
    <w:rsid w:val="4B4BD816"/>
    <w:rsid w:val="4BD50CA5"/>
    <w:rsid w:val="4CB6B80C"/>
    <w:rsid w:val="4CD36F52"/>
    <w:rsid w:val="4ECD846C"/>
    <w:rsid w:val="4F77ADB0"/>
    <w:rsid w:val="5021D30F"/>
    <w:rsid w:val="5169F66B"/>
    <w:rsid w:val="52377700"/>
    <w:rsid w:val="52E4470A"/>
    <w:rsid w:val="53E467E0"/>
    <w:rsid w:val="5463E2A5"/>
    <w:rsid w:val="548F897A"/>
    <w:rsid w:val="54EDE740"/>
    <w:rsid w:val="5694F4F4"/>
    <w:rsid w:val="570FAEBC"/>
    <w:rsid w:val="58347E99"/>
    <w:rsid w:val="5864EFF0"/>
    <w:rsid w:val="58A66737"/>
    <w:rsid w:val="5952E2A4"/>
    <w:rsid w:val="596DA07F"/>
    <w:rsid w:val="5A1B5CD2"/>
    <w:rsid w:val="5B8F971D"/>
    <w:rsid w:val="5BA93316"/>
    <w:rsid w:val="5C1BA16F"/>
    <w:rsid w:val="5CE2EDD9"/>
    <w:rsid w:val="5E1EB3A9"/>
    <w:rsid w:val="5E68E238"/>
    <w:rsid w:val="5F2B24D8"/>
    <w:rsid w:val="60ADB2F6"/>
    <w:rsid w:val="6124BFBA"/>
    <w:rsid w:val="62430026"/>
    <w:rsid w:val="6320A17D"/>
    <w:rsid w:val="63ADA1CD"/>
    <w:rsid w:val="63C4B39D"/>
    <w:rsid w:val="64046F9B"/>
    <w:rsid w:val="64E6DFD2"/>
    <w:rsid w:val="6513D211"/>
    <w:rsid w:val="6574E97B"/>
    <w:rsid w:val="65BE9D05"/>
    <w:rsid w:val="6616279A"/>
    <w:rsid w:val="661C062B"/>
    <w:rsid w:val="66920D65"/>
    <w:rsid w:val="675D7D6E"/>
    <w:rsid w:val="67666C24"/>
    <w:rsid w:val="6822FF24"/>
    <w:rsid w:val="68594FD2"/>
    <w:rsid w:val="68D8FF3C"/>
    <w:rsid w:val="6A5E8224"/>
    <w:rsid w:val="6A8F0683"/>
    <w:rsid w:val="6B160783"/>
    <w:rsid w:val="6B791BF9"/>
    <w:rsid w:val="6C1B5B1A"/>
    <w:rsid w:val="6C335972"/>
    <w:rsid w:val="6CD9E7F6"/>
    <w:rsid w:val="6DCFB542"/>
    <w:rsid w:val="6EDE3217"/>
    <w:rsid w:val="702C4B3E"/>
    <w:rsid w:val="7058986F"/>
    <w:rsid w:val="70915302"/>
    <w:rsid w:val="70F1932C"/>
    <w:rsid w:val="71050AE4"/>
    <w:rsid w:val="71595B69"/>
    <w:rsid w:val="72367680"/>
    <w:rsid w:val="725E3BDD"/>
    <w:rsid w:val="734EA4AF"/>
    <w:rsid w:val="737743A7"/>
    <w:rsid w:val="7397328D"/>
    <w:rsid w:val="73E7C32A"/>
    <w:rsid w:val="748F3644"/>
    <w:rsid w:val="74ADF755"/>
    <w:rsid w:val="7536958C"/>
    <w:rsid w:val="75409813"/>
    <w:rsid w:val="75470636"/>
    <w:rsid w:val="760F4E19"/>
    <w:rsid w:val="7623A860"/>
    <w:rsid w:val="768D8D1C"/>
    <w:rsid w:val="774A1D23"/>
    <w:rsid w:val="777AEFE6"/>
    <w:rsid w:val="77B29611"/>
    <w:rsid w:val="783B8BCD"/>
    <w:rsid w:val="78E5350D"/>
    <w:rsid w:val="7927FA71"/>
    <w:rsid w:val="7A6158EA"/>
    <w:rsid w:val="7AA5E0B0"/>
    <w:rsid w:val="7C0C93E6"/>
    <w:rsid w:val="7C564B88"/>
    <w:rsid w:val="7C88D24E"/>
    <w:rsid w:val="7D7FF68F"/>
    <w:rsid w:val="7DBBD6B3"/>
    <w:rsid w:val="7EAFB7B5"/>
    <w:rsid w:val="7EBE87AF"/>
    <w:rsid w:val="7EC84A05"/>
    <w:rsid w:val="7ECD70C6"/>
    <w:rsid w:val="7F619796"/>
    <w:rsid w:val="7FB7DA32"/>
    <w:rsid w:val="7FC4044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3A90A"/>
  <w15:docId w15:val="{B58754C8-3219-4A86-9289-76575C45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cs="Arial" w:eastAsiaTheme="minorEastAsia"/>
        <w:sz w:val="22"/>
        <w:szCs w:val="22"/>
        <w:lang w:val="de-DE"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7DBBD6B3"/>
    <w:pPr>
      <w:ind w:left="720"/>
      <w:contextualSpacing/>
    </w:pPr>
  </w:style>
  <w:style w:type="character" w:styleId="Hyperlink">
    <w:name w:val="Hyperlink"/>
    <w:basedOn w:val="DefaultParagraphFont"/>
    <w:uiPriority w:val="99"/>
    <w:unhideWhenUsed/>
    <w:rsid w:val="7DBBD6B3"/>
    <w:rPr>
      <w:color w:val="0000FF"/>
      <w:u w:val="single"/>
    </w:rPr>
  </w:style>
  <w:style w:type="paragraph" w:styleId="paragraph" w:customStyle="1">
    <w:name w:val="paragraph"/>
    <w:basedOn w:val="Normal"/>
    <w:uiPriority w:val="1"/>
    <w:rsid w:val="7DBBD6B3"/>
    <w:pPr>
      <w:spacing w:beforeAutospacing="1"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uiPriority w:val="1"/>
    <w:rsid w:val="7DBBD6B3"/>
    <w:rPr>
      <w:rFonts w:ascii="Arial" w:hAnsi="Arial" w:eastAsia="Arial" w:cs="Arial"/>
      <w:sz w:val="22"/>
      <w:szCs w:val="22"/>
    </w:rPr>
  </w:style>
  <w:style w:type="character" w:styleId="eop" w:customStyle="1">
    <w:name w:val="eop"/>
    <w:basedOn w:val="DefaultParagraphFont"/>
    <w:uiPriority w:val="1"/>
    <w:rsid w:val="7DBBD6B3"/>
    <w:rPr>
      <w:rFonts w:ascii="Arial" w:hAnsi="Arial" w:eastAsia="Arial" w:cs="Arial"/>
      <w:sz w:val="22"/>
      <w:szCs w:val="22"/>
    </w:rPr>
  </w:style>
  <w:style w:type="character" w:styleId="scxw144501745" w:customStyle="1">
    <w:name w:val="scxw144501745"/>
    <w:basedOn w:val="DefaultParagraphFont"/>
    <w:uiPriority w:val="1"/>
    <w:rsid w:val="7DBBD6B3"/>
    <w:rPr>
      <w:rFonts w:ascii="Arial" w:hAnsi="Arial" w:eastAsia="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225DE"/>
    <w:pPr>
      <w:spacing w:line="240" w:lineRule="auto"/>
    </w:pPr>
  </w:style>
  <w:style w:type="paragraph" w:styleId="CommentSubject">
    <w:name w:val="annotation subject"/>
    <w:basedOn w:val="CommentText"/>
    <w:next w:val="CommentText"/>
    <w:link w:val="CommentSubjectChar"/>
    <w:uiPriority w:val="99"/>
    <w:semiHidden/>
    <w:unhideWhenUsed/>
    <w:rsid w:val="00851D51"/>
    <w:rPr>
      <w:b/>
      <w:bCs/>
    </w:rPr>
  </w:style>
  <w:style w:type="character" w:styleId="CommentSubjectChar" w:customStyle="1">
    <w:name w:val="Comment Subject Char"/>
    <w:basedOn w:val="CommentTextChar"/>
    <w:link w:val="CommentSubject"/>
    <w:uiPriority w:val="99"/>
    <w:semiHidden/>
    <w:rsid w:val="00851D51"/>
    <w:rPr>
      <w:b/>
      <w:bCs/>
      <w:sz w:val="20"/>
      <w:szCs w:val="20"/>
    </w:rPr>
  </w:style>
  <w:style w:type="paragraph" w:styleId="BalloonText">
    <w:name w:val="Balloon Text"/>
    <w:basedOn w:val="Normal"/>
    <w:link w:val="BalloonTextChar"/>
    <w:uiPriority w:val="99"/>
    <w:semiHidden/>
    <w:unhideWhenUsed/>
    <w:rsid w:val="00461F27"/>
    <w:pPr>
      <w:spacing w:line="240" w:lineRule="auto"/>
    </w:pPr>
    <w:rPr>
      <w:sz w:val="18"/>
      <w:szCs w:val="18"/>
    </w:rPr>
  </w:style>
  <w:style w:type="character" w:styleId="BalloonTextChar" w:customStyle="1">
    <w:name w:val="Balloon Text Char"/>
    <w:basedOn w:val="DefaultParagraphFont"/>
    <w:link w:val="BalloonText"/>
    <w:uiPriority w:val="99"/>
    <w:semiHidden/>
    <w:rsid w:val="00461F27"/>
    <w:rPr>
      <w:sz w:val="18"/>
      <w:szCs w:val="18"/>
    </w:rPr>
  </w:style>
  <w:style w:type="paragraph" w:styleId="Header">
    <w:name w:val="header"/>
    <w:basedOn w:val="Normal"/>
    <w:link w:val="HeaderChar"/>
    <w:uiPriority w:val="99"/>
    <w:unhideWhenUsed/>
    <w:rsid w:val="00461F27"/>
    <w:pPr>
      <w:pBdr>
        <w:bottom w:val="single" w:color="auto" w:sz="6" w:space="1"/>
      </w:pBdr>
      <w:tabs>
        <w:tab w:val="center" w:pos="4153"/>
        <w:tab w:val="right" w:pos="8306"/>
      </w:tabs>
      <w:snapToGrid w:val="0"/>
      <w:spacing w:line="240" w:lineRule="auto"/>
      <w:jc w:val="center"/>
    </w:pPr>
    <w:rPr>
      <w:sz w:val="18"/>
      <w:szCs w:val="18"/>
    </w:rPr>
  </w:style>
  <w:style w:type="character" w:styleId="HeaderChar" w:customStyle="1">
    <w:name w:val="Header Char"/>
    <w:basedOn w:val="DefaultParagraphFont"/>
    <w:link w:val="Header"/>
    <w:uiPriority w:val="99"/>
    <w:rsid w:val="00461F27"/>
    <w:rPr>
      <w:sz w:val="18"/>
      <w:szCs w:val="18"/>
    </w:rPr>
  </w:style>
  <w:style w:type="paragraph" w:styleId="Footer">
    <w:name w:val="footer"/>
    <w:basedOn w:val="Normal"/>
    <w:link w:val="FooterChar"/>
    <w:uiPriority w:val="99"/>
    <w:unhideWhenUsed/>
    <w:rsid w:val="00461F27"/>
    <w:pPr>
      <w:tabs>
        <w:tab w:val="center" w:pos="4153"/>
        <w:tab w:val="right" w:pos="8306"/>
      </w:tabs>
      <w:snapToGrid w:val="0"/>
      <w:spacing w:line="240" w:lineRule="auto"/>
    </w:pPr>
    <w:rPr>
      <w:sz w:val="18"/>
      <w:szCs w:val="18"/>
    </w:rPr>
  </w:style>
  <w:style w:type="character" w:styleId="FooterChar" w:customStyle="1">
    <w:name w:val="Footer Char"/>
    <w:basedOn w:val="DefaultParagraphFont"/>
    <w:link w:val="Footer"/>
    <w:uiPriority w:val="99"/>
    <w:rsid w:val="00461F27"/>
    <w:rPr>
      <w:sz w:val="18"/>
      <w:szCs w:val="1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environment.ec.europa.eu/news/new-rules-boost-recycling-efficiency-waste-batteries-2025-07-04_en"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epo.org/de/news-events/european-inventor-award/2026-event?mtm_camp=pressrelease&amp;mtm_key=eia2026&amp;mtm_medium=press" TargetMode="External" Id="R5bbd64c55d644ec6" /><Relationship Type="http://schemas.openxmlformats.org/officeDocument/2006/relationships/hyperlink" Target="https://www.epo.org/de/news-events/european-inventor-award/meet-the-finalists/yu-haijun-und-xie-yinghao?mtm_camp=pressrelease&amp;mtm_key=eia2026&amp;mtm_medium=press" TargetMode="External" Id="R73f7ed82a54c48e9" /><Relationship Type="http://schemas.openxmlformats.org/officeDocument/2006/relationships/hyperlink" Target="mailto:press@epo.org" TargetMode="External" Id="R0887c9dca31e4174" /><Relationship Type="http://schemas.openxmlformats.org/officeDocument/2006/relationships/hyperlink" Target="https://www.epo.org/de/news-events/european-inventor-award?mtm_camp=pressrelease&amp;mtm_key=eia2026&amp;mtm_medium=press" TargetMode="External" Id="R557adfb936ac4ed7" /><Relationship Type="http://schemas.openxmlformats.org/officeDocument/2006/relationships/hyperlink" Target="https://www.epo.org/de?mtm_camp=pressrelease&amp;mtm_key=eia2026&amp;mtm_medium=press" TargetMode="External" Id="R82fe92c60cf84d51" /><Relationship Type="http://schemas.openxmlformats.org/officeDocument/2006/relationships/hyperlink" Target="https://mam.apps.epo.org/catdv/sharing/view-shared-cliplist.jsp?uid=038d1043-e4c3-cc51-72fb-6045e7bce9d1" TargetMode="External" Id="R924599414cc347dc" /><Relationship Type="http://schemas.openxmlformats.org/officeDocument/2006/relationships/header" Target="header.xml" Id="Ra8aff07f23204294" /><Relationship Type="http://schemas.openxmlformats.org/officeDocument/2006/relationships/footer" Target="footer.xml" Id="Rd98eebee46e44f83"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2.png" Id="rId13809704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TAS0-850928080-124457</_dlc_DocId>
    <_dlc_DocIdUrl xmlns="f2e99cb4-f4f9-415e-b3d9-1292be195fdc">
      <Url>https://byblos2019.internal.epo.org/sites/TAS/_layouts/15/DocIdRedir.aspx?ID=TAS0-850928080-124457</Url>
      <Description>TAS0-850928080-124457</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fe85f9d-14b9-4f9c-9861-ae262a00135d" ContentTypeId="0x0101004B4BAD3DDDE0F84A8E56A09DD9B2FAD7" PreviousValue="false"/>
</file>

<file path=customXml/itemProps1.xml><?xml version="1.0" encoding="utf-8"?>
<ds:datastoreItem xmlns:ds="http://schemas.openxmlformats.org/officeDocument/2006/customXml" ds:itemID="{EAC03D7B-3CE0-4E48-952B-B6AFC0152231}">
  <ds:schemaRefs>
    <ds:schemaRef ds:uri="http://schemas.microsoft.com/sharepoint/events"/>
  </ds:schemaRefs>
</ds:datastoreItem>
</file>

<file path=customXml/itemProps2.xml><?xml version="1.0" encoding="utf-8"?>
<ds:datastoreItem xmlns:ds="http://schemas.openxmlformats.org/officeDocument/2006/customXml" ds:itemID="{22CB2EF1-7CC4-43B2-AD52-75F829CA9E51}">
  <ds:schemaRefs>
    <ds:schemaRef ds:uri="http://schemas.microsoft.com/sharepoint/v3/contenttype/forms"/>
  </ds:schemaRefs>
</ds:datastoreItem>
</file>

<file path=customXml/itemProps3.xml><?xml version="1.0" encoding="utf-8"?>
<ds:datastoreItem xmlns:ds="http://schemas.openxmlformats.org/officeDocument/2006/customXml" ds:itemID="{BBBDAD6B-058A-4B49-9ACF-6E29928F037E}">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4.xml><?xml version="1.0" encoding="utf-8"?>
<ds:datastoreItem xmlns:ds="http://schemas.openxmlformats.org/officeDocument/2006/customXml" ds:itemID="{F5511A95-5423-476F-AB1B-2843D0A3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DB752E-53BF-4B62-A4CD-2625EC4CB4E7}">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Pauline Rocheteau (External)</dc:creator>
  <keywords/>
  <lastModifiedBy>Sophie Rasbash (External)</lastModifiedBy>
  <revision>15</revision>
  <dcterms:created xsi:type="dcterms:W3CDTF">2026-03-30T15:03:00.0000000Z</dcterms:created>
  <dcterms:modified xsi:type="dcterms:W3CDTF">2026-05-07T09:00:09.3220512Z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2e557f58-819b-446a-a30c-1c70fe308014</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