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AA95" w14:textId="305813F7" w:rsidR="1DA6B1CD" w:rsidRDefault="1DA6B1CD" w:rsidP="634D0075">
      <w:pPr>
        <w:jc w:val="right"/>
        <w:rPr>
          <w:rFonts w:ascii="Arial" w:eastAsia="Arial" w:hAnsi="Arial" w:cs="Arial"/>
          <w:color w:val="000000" w:themeColor="text1"/>
          <w:sz w:val="32"/>
          <w:szCs w:val="32"/>
        </w:rPr>
      </w:pPr>
      <w:r>
        <w:rPr>
          <w:rFonts w:ascii="Arial" w:hAnsi="Arial"/>
          <w:b/>
          <w:color w:val="000000" w:themeColor="text1"/>
          <w:sz w:val="32"/>
        </w:rPr>
        <w:t>PRESSEMITTEILUNG</w:t>
      </w:r>
    </w:p>
    <w:p w14:paraId="5782EDDA" w14:textId="03236DB8" w:rsidR="4B8578E7" w:rsidRDefault="4B8578E7" w:rsidP="56A71484">
      <w:pPr>
        <w:spacing w:after="0" w:line="300" w:lineRule="auto"/>
        <w:jc w:val="center"/>
        <w:rPr>
          <w:b/>
          <w:bCs/>
          <w:color w:val="000000" w:themeColor="text1"/>
          <w:sz w:val="32"/>
          <w:szCs w:val="32"/>
        </w:rPr>
      </w:pPr>
      <w:r w:rsidRPr="56A71484">
        <w:rPr>
          <w:b/>
          <w:bCs/>
          <w:color w:val="000000" w:themeColor="text1"/>
          <w:sz w:val="32"/>
          <w:szCs w:val="32"/>
        </w:rPr>
        <w:t>Innovation</w:t>
      </w:r>
      <w:r w:rsidR="0CBA3B63" w:rsidRPr="56A71484">
        <w:rPr>
          <w:b/>
          <w:bCs/>
          <w:color w:val="000000" w:themeColor="text1"/>
          <w:sz w:val="32"/>
          <w:szCs w:val="32"/>
        </w:rPr>
        <w:t>en</w:t>
      </w:r>
      <w:r w:rsidRPr="56A71484">
        <w:rPr>
          <w:b/>
          <w:bCs/>
          <w:color w:val="000000" w:themeColor="text1"/>
          <w:sz w:val="32"/>
          <w:szCs w:val="32"/>
        </w:rPr>
        <w:t xml:space="preserve"> in der Brandbekämpfung: EPA und INPI Portugal präsentieren Ausstellung in Sintra</w:t>
      </w:r>
    </w:p>
    <w:p w14:paraId="1322C6E6" w14:textId="0C9F0F3B" w:rsidR="1306809F" w:rsidRDefault="1306809F" w:rsidP="00441093">
      <w:pPr>
        <w:pStyle w:val="ListParagraph"/>
        <w:numPr>
          <w:ilvl w:val="0"/>
          <w:numId w:val="1"/>
        </w:numPr>
        <w:spacing w:line="259" w:lineRule="auto"/>
        <w:jc w:val="both"/>
        <w:rPr>
          <w:rFonts w:ascii="Arial" w:eastAsia="Arial" w:hAnsi="Arial" w:cs="Arial"/>
          <w:b/>
          <w:bCs/>
          <w:color w:val="242424"/>
          <w:sz w:val="22"/>
          <w:szCs w:val="22"/>
        </w:rPr>
      </w:pPr>
      <w:r w:rsidRPr="56A71484">
        <w:rPr>
          <w:b/>
          <w:bCs/>
          <w:color w:val="242424"/>
          <w:sz w:val="22"/>
          <w:szCs w:val="22"/>
        </w:rPr>
        <w:t>"</w:t>
      </w:r>
      <w:r w:rsidRPr="00BE74D2">
        <w:rPr>
          <w:b/>
          <w:bCs/>
          <w:i/>
          <w:iCs/>
          <w:color w:val="242424"/>
          <w:sz w:val="22"/>
          <w:szCs w:val="22"/>
        </w:rPr>
        <w:t xml:space="preserve">Technology vs. </w:t>
      </w:r>
      <w:proofErr w:type="spellStart"/>
      <w:r w:rsidRPr="00BE74D2">
        <w:rPr>
          <w:b/>
          <w:bCs/>
          <w:i/>
          <w:iCs/>
          <w:color w:val="242424"/>
          <w:sz w:val="22"/>
          <w:szCs w:val="22"/>
        </w:rPr>
        <w:t>Fire</w:t>
      </w:r>
      <w:proofErr w:type="spellEnd"/>
      <w:r w:rsidRPr="00BE74D2">
        <w:rPr>
          <w:b/>
          <w:bCs/>
          <w:i/>
          <w:iCs/>
          <w:color w:val="242424"/>
          <w:sz w:val="22"/>
          <w:szCs w:val="22"/>
        </w:rPr>
        <w:t xml:space="preserve"> – Erfindungen helfen uns, eine bessere Welt zu schaffen</w:t>
      </w:r>
      <w:r w:rsidRPr="56A71484">
        <w:rPr>
          <w:b/>
          <w:bCs/>
          <w:color w:val="242424"/>
          <w:sz w:val="22"/>
          <w:szCs w:val="22"/>
        </w:rPr>
        <w:t>" ist eine europäische Ausstellung, die nun in Portugal Station macht</w:t>
      </w:r>
    </w:p>
    <w:p w14:paraId="56A363AA" w14:textId="6D2E7F0D" w:rsidR="004935BC" w:rsidRDefault="4BD0C9A1" w:rsidP="00441093">
      <w:pPr>
        <w:pStyle w:val="ListParagraph"/>
        <w:numPr>
          <w:ilvl w:val="0"/>
          <w:numId w:val="1"/>
        </w:numPr>
        <w:spacing w:line="259" w:lineRule="auto"/>
        <w:jc w:val="both"/>
        <w:rPr>
          <w:rFonts w:ascii="Arial" w:eastAsia="Arial" w:hAnsi="Arial" w:cs="Arial"/>
          <w:b/>
          <w:bCs/>
          <w:color w:val="000000" w:themeColor="text1"/>
          <w:sz w:val="22"/>
          <w:szCs w:val="22"/>
        </w:rPr>
      </w:pPr>
      <w:r>
        <w:rPr>
          <w:rFonts w:ascii="Arial" w:hAnsi="Arial"/>
          <w:b/>
          <w:color w:val="242424"/>
          <w:sz w:val="22"/>
        </w:rPr>
        <w:t xml:space="preserve">Im Mittelpunkt der Initiative stehen Technologien in den Bereichen Branderkennung und </w:t>
      </w:r>
      <w:r w:rsidR="00441093">
        <w:rPr>
          <w:rFonts w:ascii="Arial" w:hAnsi="Arial"/>
          <w:b/>
          <w:color w:val="242424"/>
          <w:sz w:val="22"/>
        </w:rPr>
        <w:t>–</w:t>
      </w:r>
      <w:proofErr w:type="spellStart"/>
      <w:r>
        <w:rPr>
          <w:rFonts w:ascii="Arial" w:hAnsi="Arial"/>
          <w:b/>
          <w:color w:val="242424"/>
          <w:sz w:val="22"/>
        </w:rPr>
        <w:t>verhütung</w:t>
      </w:r>
      <w:proofErr w:type="spellEnd"/>
      <w:r>
        <w:rPr>
          <w:rFonts w:ascii="Arial" w:hAnsi="Arial"/>
          <w:b/>
          <w:color w:val="242424"/>
          <w:sz w:val="22"/>
        </w:rPr>
        <w:t>, Brandbekämpfung, Schutzausrüstung und Sanierung nach Brandschäden</w:t>
      </w:r>
    </w:p>
    <w:p w14:paraId="71803160" w14:textId="2F797505" w:rsidR="7D644127" w:rsidRDefault="7D644127" w:rsidP="25B9822D">
      <w:pPr>
        <w:spacing w:line="259" w:lineRule="auto"/>
        <w:jc w:val="both"/>
        <w:rPr>
          <w:rFonts w:ascii="Arial" w:eastAsia="Arial" w:hAnsi="Arial" w:cs="Arial"/>
          <w:color w:val="000000" w:themeColor="text1"/>
          <w:sz w:val="22"/>
          <w:szCs w:val="22"/>
        </w:rPr>
      </w:pPr>
      <w:r w:rsidRPr="56A71484">
        <w:rPr>
          <w:b/>
          <w:bCs/>
          <w:color w:val="000000" w:themeColor="text1"/>
          <w:sz w:val="22"/>
          <w:szCs w:val="22"/>
        </w:rPr>
        <w:t xml:space="preserve">Lissabon/München, 15. Mai 2026 – </w:t>
      </w:r>
      <w:r w:rsidRPr="56A71484">
        <w:rPr>
          <w:color w:val="000000" w:themeColor="text1"/>
          <w:sz w:val="22"/>
          <w:szCs w:val="22"/>
        </w:rPr>
        <w:t>Waldbrände stellen eine zunehmende Bedrohung für Menschen, Sachwerte und den Planeten dar. In den letzten Jahren haben mehrere europäische Länder, darunter Portugal, schwere Waldbrandsaisons erlebt, bei denen große Gebiete von Feuer</w:t>
      </w:r>
      <w:r w:rsidR="46ED6F5E" w:rsidRPr="56A71484">
        <w:rPr>
          <w:color w:val="000000" w:themeColor="text1"/>
          <w:sz w:val="22"/>
          <w:szCs w:val="22"/>
        </w:rPr>
        <w:t>n</w:t>
      </w:r>
      <w:r w:rsidRPr="56A71484">
        <w:rPr>
          <w:color w:val="000000" w:themeColor="text1"/>
          <w:sz w:val="22"/>
          <w:szCs w:val="22"/>
        </w:rPr>
        <w:t xml:space="preserve"> heimgesucht wurden. Vor diesem Hintergrund kann Innovation dazu beitragen, Ver</w:t>
      </w:r>
      <w:r w:rsidR="62259A2B" w:rsidRPr="56A71484">
        <w:rPr>
          <w:color w:val="000000" w:themeColor="text1"/>
          <w:sz w:val="22"/>
          <w:szCs w:val="22"/>
        </w:rPr>
        <w:t>meid</w:t>
      </w:r>
      <w:r w:rsidRPr="56A71484">
        <w:rPr>
          <w:color w:val="000000" w:themeColor="text1"/>
          <w:sz w:val="22"/>
          <w:szCs w:val="22"/>
        </w:rPr>
        <w:t>ung, Vorsorge und Reaktion zu stärken.</w:t>
      </w:r>
    </w:p>
    <w:p w14:paraId="4DF7EDCB" w14:textId="3DFCCCC7" w:rsidR="37C5AD72" w:rsidRDefault="6DF8F9AA" w:rsidP="25B9822D">
      <w:pPr>
        <w:spacing w:line="259" w:lineRule="auto"/>
        <w:jc w:val="both"/>
        <w:rPr>
          <w:rFonts w:ascii="Arial" w:eastAsia="Arial" w:hAnsi="Arial" w:cs="Arial"/>
          <w:color w:val="000000" w:themeColor="text1"/>
          <w:sz w:val="22"/>
          <w:szCs w:val="22"/>
        </w:rPr>
      </w:pPr>
      <w:r w:rsidRPr="56A71484">
        <w:rPr>
          <w:color w:val="000000" w:themeColor="text1"/>
          <w:sz w:val="22"/>
          <w:szCs w:val="22"/>
        </w:rPr>
        <w:t xml:space="preserve">So haben angesichts dieser Herausforderung Feuerwehrleute, Erfinderinnen und Erfinder, Forschungsinstitute und Organisationen auf der ganzen Welt Innovationen im Bereich der Brandbekämpfung entwickelt und patentiert. </w:t>
      </w:r>
      <w:r w:rsidR="6545E2A0" w:rsidRPr="56A71484">
        <w:rPr>
          <w:color w:val="000000" w:themeColor="text1"/>
          <w:sz w:val="22"/>
          <w:szCs w:val="22"/>
        </w:rPr>
        <w:t xml:space="preserve">Um diese Innovationen zu zeigen, hat </w:t>
      </w:r>
      <w:r w:rsidR="247F14E9" w:rsidRPr="56A71484">
        <w:rPr>
          <w:color w:val="000000" w:themeColor="text1"/>
          <w:sz w:val="22"/>
          <w:szCs w:val="22"/>
        </w:rPr>
        <w:t>d</w:t>
      </w:r>
      <w:r w:rsidRPr="56A71484">
        <w:rPr>
          <w:color w:val="000000" w:themeColor="text1"/>
          <w:sz w:val="22"/>
          <w:szCs w:val="22"/>
        </w:rPr>
        <w:t>as Europäische Patentamt (</w:t>
      </w:r>
      <w:r w:rsidR="64EC3521" w:rsidRPr="56A71484">
        <w:rPr>
          <w:color w:val="000000" w:themeColor="text1"/>
          <w:sz w:val="22"/>
          <w:szCs w:val="22"/>
        </w:rPr>
        <w:t>EPA) in</w:t>
      </w:r>
      <w:r w:rsidRPr="56A71484">
        <w:rPr>
          <w:color w:val="000000" w:themeColor="text1"/>
          <w:sz w:val="22"/>
          <w:szCs w:val="22"/>
        </w:rPr>
        <w:t xml:space="preserve"> Zusammenarbeit mit dem portugiesischen Institut für gewerbliches Eigentum INPI Portugal die Ausstellung "Technology vs. </w:t>
      </w:r>
      <w:proofErr w:type="spellStart"/>
      <w:r w:rsidRPr="56A71484">
        <w:rPr>
          <w:color w:val="000000" w:themeColor="text1"/>
          <w:sz w:val="22"/>
          <w:szCs w:val="22"/>
        </w:rPr>
        <w:t>Fire</w:t>
      </w:r>
      <w:proofErr w:type="spellEnd"/>
      <w:r w:rsidRPr="56A71484">
        <w:rPr>
          <w:color w:val="000000" w:themeColor="text1"/>
          <w:sz w:val="22"/>
          <w:szCs w:val="22"/>
        </w:rPr>
        <w:t xml:space="preserve"> – Erfindungen helfen uns, eine bessere Welt zu schaffen" eröffnet, die vom 15. bis zum 29. Mai im Luftfahrtmuseum (</w:t>
      </w:r>
      <w:proofErr w:type="spellStart"/>
      <w:r w:rsidRPr="56A71484">
        <w:rPr>
          <w:color w:val="000000" w:themeColor="text1"/>
          <w:sz w:val="22"/>
          <w:szCs w:val="22"/>
        </w:rPr>
        <w:t>Museu</w:t>
      </w:r>
      <w:proofErr w:type="spellEnd"/>
      <w:r w:rsidRPr="56A71484">
        <w:rPr>
          <w:color w:val="000000" w:themeColor="text1"/>
          <w:sz w:val="22"/>
          <w:szCs w:val="22"/>
        </w:rPr>
        <w:t xml:space="preserve"> do Ar) in Sintra zu sehen ist. Sie bietet eine interaktive, eindrucksvolle Präsentation von Spitzentechnologien, die auf Patentinformationen und technischem Fachwissen basieren, sowie inspirierende und bewegende Erfahrungsberichte von portugiesischen Feuerwehrleuten und Technologieentwicklern</w:t>
      </w:r>
      <w:r w:rsidR="284A6A41" w:rsidRPr="56A71484">
        <w:rPr>
          <w:color w:val="000000" w:themeColor="text1"/>
          <w:sz w:val="22"/>
          <w:szCs w:val="22"/>
        </w:rPr>
        <w:t>. Sie sollen</w:t>
      </w:r>
      <w:r w:rsidR="0C43D0B3" w:rsidRPr="56A71484">
        <w:rPr>
          <w:color w:val="000000" w:themeColor="text1"/>
          <w:sz w:val="22"/>
          <w:szCs w:val="22"/>
        </w:rPr>
        <w:t xml:space="preserve"> </w:t>
      </w:r>
      <w:r w:rsidRPr="56A71484">
        <w:rPr>
          <w:color w:val="000000" w:themeColor="text1"/>
          <w:sz w:val="22"/>
          <w:szCs w:val="22"/>
        </w:rPr>
        <w:t xml:space="preserve">die Dringlichkeit der Brandbekämpfung </w:t>
      </w:r>
      <w:r w:rsidR="1DA9AADB" w:rsidRPr="56A71484">
        <w:rPr>
          <w:color w:val="000000" w:themeColor="text1"/>
          <w:sz w:val="22"/>
          <w:szCs w:val="22"/>
        </w:rPr>
        <w:t xml:space="preserve">verdeutlichen </w:t>
      </w:r>
      <w:r w:rsidRPr="56A71484">
        <w:rPr>
          <w:color w:val="000000" w:themeColor="text1"/>
          <w:sz w:val="22"/>
          <w:szCs w:val="22"/>
        </w:rPr>
        <w:t>und die Rolle der Technologie dabei anschaulich machen. Nach erfolgreichen Ausstellungen in Griechenland und Slowenien im Jahr 2024 ist dies bereits die dritte Ausgabe der Initiative.</w:t>
      </w:r>
    </w:p>
    <w:p w14:paraId="1836311C" w14:textId="4B50C300" w:rsidR="7D644127" w:rsidRDefault="7D644127" w:rsidP="25B9822D">
      <w:pPr>
        <w:spacing w:line="259" w:lineRule="auto"/>
        <w:jc w:val="both"/>
        <w:rPr>
          <w:rFonts w:ascii="Arial" w:eastAsia="Arial" w:hAnsi="Arial" w:cs="Arial"/>
          <w:color w:val="000000" w:themeColor="text1"/>
          <w:sz w:val="22"/>
          <w:szCs w:val="22"/>
        </w:rPr>
      </w:pPr>
      <w:r w:rsidRPr="56A71484">
        <w:rPr>
          <w:color w:val="000000" w:themeColor="text1"/>
          <w:sz w:val="22"/>
          <w:szCs w:val="22"/>
        </w:rPr>
        <w:t xml:space="preserve">Die Ausstellung, die in Zusammenarbeit mit </w:t>
      </w:r>
      <w:r w:rsidR="27BB502C" w:rsidRPr="56A71484">
        <w:rPr>
          <w:color w:val="000000" w:themeColor="text1"/>
          <w:sz w:val="22"/>
          <w:szCs w:val="22"/>
        </w:rPr>
        <w:t xml:space="preserve">dem portugiesischen Feuerwehrverband </w:t>
      </w:r>
      <w:r w:rsidRPr="56A71484">
        <w:rPr>
          <w:i/>
          <w:iCs/>
          <w:color w:val="000000" w:themeColor="text1"/>
          <w:sz w:val="22"/>
          <w:szCs w:val="22"/>
        </w:rPr>
        <w:t xml:space="preserve">Liga dos </w:t>
      </w:r>
      <w:proofErr w:type="spellStart"/>
      <w:r w:rsidRPr="56A71484">
        <w:rPr>
          <w:i/>
          <w:iCs/>
          <w:color w:val="000000" w:themeColor="text1"/>
          <w:sz w:val="22"/>
          <w:szCs w:val="22"/>
        </w:rPr>
        <w:t>Bombeiros</w:t>
      </w:r>
      <w:proofErr w:type="spellEnd"/>
      <w:r w:rsidRPr="56A71484">
        <w:rPr>
          <w:i/>
          <w:iCs/>
          <w:color w:val="000000" w:themeColor="text1"/>
          <w:sz w:val="22"/>
          <w:szCs w:val="22"/>
        </w:rPr>
        <w:t xml:space="preserve"> </w:t>
      </w:r>
      <w:proofErr w:type="spellStart"/>
      <w:r w:rsidR="00441093" w:rsidRPr="56A71484">
        <w:rPr>
          <w:i/>
          <w:iCs/>
          <w:color w:val="000000" w:themeColor="text1"/>
          <w:sz w:val="22"/>
          <w:szCs w:val="22"/>
        </w:rPr>
        <w:t>Portugueses</w:t>
      </w:r>
      <w:proofErr w:type="spellEnd"/>
      <w:r w:rsidR="00441093" w:rsidRPr="56A71484">
        <w:rPr>
          <w:color w:val="000000" w:themeColor="text1"/>
          <w:sz w:val="22"/>
          <w:szCs w:val="22"/>
        </w:rPr>
        <w:t xml:space="preserve"> organisiert</w:t>
      </w:r>
      <w:r w:rsidRPr="56A71484">
        <w:rPr>
          <w:color w:val="000000" w:themeColor="text1"/>
          <w:sz w:val="22"/>
          <w:szCs w:val="22"/>
        </w:rPr>
        <w:t xml:space="preserve"> wurde, ist zwei Wochen lang für Besucher geöffnet. Sie konzentriert sich auf vier Hauptbereiche: Branderkennung und -verhütung, Brandbekämpfung, Schutzausrüstung und Sanierung nach Brandschäden.</w:t>
      </w:r>
    </w:p>
    <w:p w14:paraId="3466D350" w14:textId="57AB3E30" w:rsidR="720147CC" w:rsidRDefault="130E19EC" w:rsidP="694115E1">
      <w:pPr>
        <w:spacing w:line="259" w:lineRule="auto"/>
        <w:jc w:val="both"/>
        <w:rPr>
          <w:rFonts w:ascii="Arial" w:eastAsia="Arial" w:hAnsi="Arial" w:cs="Arial"/>
          <w:color w:val="000000" w:themeColor="text1"/>
          <w:sz w:val="22"/>
          <w:szCs w:val="22"/>
        </w:rPr>
      </w:pPr>
      <w:r w:rsidRPr="56A71484">
        <w:rPr>
          <w:i/>
          <w:iCs/>
          <w:color w:val="000000" w:themeColor="text1"/>
          <w:sz w:val="22"/>
          <w:szCs w:val="22"/>
        </w:rPr>
        <w:t>"Da die Vereinten Nationen bis 2050 einen Anstieg der Waldbrände um 30 % prognostizieren, ist die Herausforderung, vor der wir stehen, sowohl global als auch langfrist</w:t>
      </w:r>
      <w:r w:rsidRPr="00441093">
        <w:rPr>
          <w:i/>
          <w:iCs/>
          <w:color w:val="000000" w:themeColor="text1"/>
          <w:sz w:val="22"/>
          <w:szCs w:val="22"/>
        </w:rPr>
        <w:t xml:space="preserve">ig", </w:t>
      </w:r>
      <w:r w:rsidRPr="00441093">
        <w:rPr>
          <w:b/>
          <w:bCs/>
          <w:sz w:val="22"/>
          <w:szCs w:val="22"/>
        </w:rPr>
        <w:t>sagt EPA-Präsident António Campinos</w:t>
      </w:r>
      <w:r w:rsidRPr="00441093">
        <w:rPr>
          <w:sz w:val="22"/>
          <w:szCs w:val="22"/>
        </w:rPr>
        <w:t>.</w:t>
      </w:r>
      <w:r w:rsidRPr="00441093">
        <w:rPr>
          <w:color w:val="000000" w:themeColor="text1"/>
          <w:sz w:val="22"/>
          <w:szCs w:val="22"/>
        </w:rPr>
        <w:t xml:space="preserve"> </w:t>
      </w:r>
      <w:r w:rsidRPr="00441093">
        <w:rPr>
          <w:i/>
          <w:iCs/>
          <w:color w:val="000000" w:themeColor="text1"/>
          <w:sz w:val="22"/>
          <w:szCs w:val="22"/>
        </w:rPr>
        <w:t>"</w:t>
      </w:r>
      <w:r w:rsidRPr="56A71484">
        <w:rPr>
          <w:i/>
          <w:iCs/>
          <w:color w:val="000000" w:themeColor="text1"/>
          <w:sz w:val="22"/>
          <w:szCs w:val="22"/>
        </w:rPr>
        <w:t>Um sie zu bewältigen, bedarf es einer Zusammenarbeit, die auf Wissen und Innovation basiert. Durch den Austausch der in Patenten enthaltenen technischen Informationen tragen Initiativen wie diese Ausstellung dazu bei, Ideen in praktische Lösungen umzusetzen, die vor Ort einen echten Unterschied machen können."</w:t>
      </w:r>
    </w:p>
    <w:p w14:paraId="08F9E3ED" w14:textId="090B19C8" w:rsidR="007C7217" w:rsidRDefault="4FD78041" w:rsidP="007C7217">
      <w:pPr>
        <w:spacing w:line="259" w:lineRule="auto"/>
        <w:jc w:val="both"/>
        <w:rPr>
          <w:rFonts w:ascii="Arial" w:eastAsia="Arial" w:hAnsi="Arial" w:cs="Arial"/>
          <w:color w:val="000000" w:themeColor="text1"/>
          <w:sz w:val="22"/>
          <w:szCs w:val="22"/>
        </w:rPr>
      </w:pPr>
      <w:r w:rsidRPr="56A71484">
        <w:rPr>
          <w:rFonts w:ascii="Aptos" w:eastAsia="Aptos" w:hAnsi="Aptos" w:cs="Aptos"/>
          <w:i/>
          <w:iCs/>
          <w:sz w:val="22"/>
          <w:szCs w:val="22"/>
        </w:rPr>
        <w:t xml:space="preserve"> </w:t>
      </w:r>
      <w:r w:rsidRPr="56A71484">
        <w:rPr>
          <w:i/>
          <w:iCs/>
          <w:sz w:val="22"/>
          <w:szCs w:val="22"/>
        </w:rPr>
        <w:t>„Laut der 2022 veröffentlichten Studie, die wir gemeinsam mit dem spanischen Patent- und Markenamt durchgeführt haben, wurden zwischen 2010 und 2021 weltweit mehr als 3.000 Patentdokumente veröffentlicht, die in direktem Zusammenhang mit der Bekämpfung von Waldbränden stehen, was einen sehr deutlichen Anstieg im letzten Jahrzehnt zeigt“</w:t>
      </w:r>
      <w:r w:rsidRPr="56A71484">
        <w:rPr>
          <w:sz w:val="22"/>
          <w:szCs w:val="22"/>
        </w:rPr>
        <w:t>,</w:t>
      </w:r>
      <w:r w:rsidRPr="56A71484">
        <w:rPr>
          <w:b/>
          <w:bCs/>
          <w:sz w:val="22"/>
          <w:szCs w:val="22"/>
        </w:rPr>
        <w:t xml:space="preserve"> </w:t>
      </w:r>
      <w:r w:rsidR="5A1E84F2" w:rsidRPr="56A71484">
        <w:rPr>
          <w:b/>
          <w:bCs/>
          <w:sz w:val="22"/>
          <w:szCs w:val="22"/>
        </w:rPr>
        <w:t xml:space="preserve">erklärt </w:t>
      </w:r>
      <w:r w:rsidR="5A1E84F2" w:rsidRPr="56A71484">
        <w:rPr>
          <w:b/>
          <w:bCs/>
          <w:sz w:val="22"/>
          <w:szCs w:val="22"/>
        </w:rPr>
        <w:lastRenderedPageBreak/>
        <w:t>Präsident des Direktoriums des INPI,</w:t>
      </w:r>
      <w:r w:rsidRPr="56A71484">
        <w:rPr>
          <w:b/>
          <w:bCs/>
          <w:sz w:val="22"/>
          <w:szCs w:val="22"/>
        </w:rPr>
        <w:t xml:space="preserve"> Ana Bandeira.</w:t>
      </w:r>
      <w:r w:rsidRPr="56A71484">
        <w:rPr>
          <w:sz w:val="22"/>
          <w:szCs w:val="22"/>
        </w:rPr>
        <w:t xml:space="preserve"> </w:t>
      </w:r>
      <w:r w:rsidRPr="56A71484">
        <w:rPr>
          <w:i/>
          <w:iCs/>
          <w:sz w:val="22"/>
          <w:szCs w:val="22"/>
        </w:rPr>
        <w:t>„Diese Daten verdeutlichen einerseits das rasante Innovationstempo in diesem Bereich. Sie zeigen jedoch auch, dass noch viel zu tun bleibt, insbesondere bei der Stärkung des Schutzes dieser Erfindungen, um sicherzustellen, dass generiertes Wissen in wirtschaftlichen und sozialen Mehrwert umgesetzt wird. Das INPI hat sein Engagement für die Förderung des gewerblichen Eigentums als strategisches Instrument zur Unterstützung von Innovation, nachhaltiger Entwicklung und der Wettbewerbsfähigkeit unseres Landes verstärkt.</w:t>
      </w:r>
      <w:r w:rsidR="00D154B3" w:rsidRPr="56A71484">
        <w:rPr>
          <w:i/>
          <w:iCs/>
          <w:color w:val="000000" w:themeColor="text1"/>
          <w:sz w:val="22"/>
          <w:szCs w:val="22"/>
        </w:rPr>
        <w:t>"</w:t>
      </w:r>
    </w:p>
    <w:p w14:paraId="59CA0387" w14:textId="65268418" w:rsidR="51144E52" w:rsidRDefault="51144E52" w:rsidP="56A71484">
      <w:pPr>
        <w:spacing w:line="259" w:lineRule="auto"/>
        <w:jc w:val="both"/>
        <w:rPr>
          <w:i/>
          <w:iCs/>
          <w:color w:val="000000" w:themeColor="text1"/>
          <w:sz w:val="22"/>
          <w:szCs w:val="22"/>
        </w:rPr>
      </w:pPr>
      <w:r w:rsidRPr="56A71484">
        <w:rPr>
          <w:i/>
          <w:iCs/>
          <w:color w:val="000000" w:themeColor="text1"/>
          <w:sz w:val="22"/>
          <w:szCs w:val="22"/>
        </w:rPr>
        <w:t xml:space="preserve">„Diese Partnerschaft zwischen dem Europäischen Patentamt und dem INPI ist ein konkretes Beispiel dafür, wie die europäische Zusammenarbeit Ergebnisse mit spürbarer Wirkung hervorbringt“, </w:t>
      </w:r>
      <w:r w:rsidRPr="56A71484">
        <w:rPr>
          <w:b/>
          <w:bCs/>
          <w:color w:val="000000" w:themeColor="text1"/>
          <w:sz w:val="22"/>
          <w:szCs w:val="22"/>
        </w:rPr>
        <w:t>sagt der portugiesische Staatssekretär für Justiz, Gonçalo da Cunha Pires.</w:t>
      </w:r>
      <w:r w:rsidRPr="56A71484">
        <w:rPr>
          <w:i/>
          <w:iCs/>
          <w:color w:val="000000" w:themeColor="text1"/>
          <w:sz w:val="22"/>
          <w:szCs w:val="22"/>
        </w:rPr>
        <w:t xml:space="preserve"> „Portugal hat seine Zahl der Patente in diesem Bereich erhöht - ein klares Zeichen dafür, dass unsere Wissenschaft und unsere Technologien bei der Innovation im Bereich Brandschutz und Brandbekämpfung gemeinsam eine Vorreiterrolle einnehmen. Patente sind nicht nur technische Dokumente, sondern Instrumente des Fortschritts und des Schutzes öffentlicher Interessen."</w:t>
      </w:r>
    </w:p>
    <w:p w14:paraId="49FAD6A2" w14:textId="6A273FBC" w:rsidR="32BB1443" w:rsidRDefault="32BB1443" w:rsidP="634D0075">
      <w:pPr>
        <w:spacing w:line="259" w:lineRule="auto"/>
        <w:jc w:val="both"/>
        <w:rPr>
          <w:rFonts w:ascii="Arial" w:eastAsia="Arial" w:hAnsi="Arial" w:cs="Arial"/>
          <w:i/>
          <w:iCs/>
          <w:color w:val="000000" w:themeColor="text1"/>
          <w:sz w:val="22"/>
          <w:szCs w:val="22"/>
        </w:rPr>
      </w:pPr>
      <w:r>
        <w:rPr>
          <w:rFonts w:ascii="Arial" w:hAnsi="Arial"/>
          <w:b/>
          <w:color w:val="C00000"/>
          <w:sz w:val="22"/>
        </w:rPr>
        <w:t>Einzelheiten zur Ausstellung</w:t>
      </w:r>
    </w:p>
    <w:p w14:paraId="0DCAA374" w14:textId="4E8BA1ED" w:rsidR="32BB1443" w:rsidRPr="007441B9" w:rsidRDefault="00C11F8C" w:rsidP="56A71484">
      <w:pPr>
        <w:spacing w:line="259" w:lineRule="auto"/>
        <w:rPr>
          <w:color w:val="000000" w:themeColor="text1"/>
          <w:sz w:val="22"/>
          <w:szCs w:val="22"/>
        </w:rPr>
      </w:pPr>
      <w:r w:rsidRPr="56A71484">
        <w:rPr>
          <w:color w:val="000000" w:themeColor="text1"/>
          <w:sz w:val="22"/>
          <w:szCs w:val="22"/>
        </w:rPr>
        <w:t xml:space="preserve">Dienstag-Sonntag 10.00-17.00 Uhr </w:t>
      </w:r>
    </w:p>
    <w:p w14:paraId="24E4F96E" w14:textId="3007F4C5" w:rsidR="4CBD724E" w:rsidRPr="009359C5" w:rsidRDefault="4CBD724E" w:rsidP="0046479A">
      <w:pPr>
        <w:spacing w:line="259" w:lineRule="auto"/>
        <w:rPr>
          <w:rFonts w:ascii="Arial" w:eastAsia="Arial" w:hAnsi="Arial" w:cs="Arial"/>
          <w:color w:val="000000" w:themeColor="text1"/>
          <w:sz w:val="22"/>
          <w:szCs w:val="22"/>
          <w:lang w:val="en-GB"/>
        </w:rPr>
      </w:pPr>
      <w:r w:rsidRPr="009359C5">
        <w:rPr>
          <w:color w:val="000000" w:themeColor="text1"/>
          <w:sz w:val="22"/>
          <w:lang w:val="en-GB"/>
        </w:rPr>
        <w:t>Air Museum (</w:t>
      </w:r>
      <w:proofErr w:type="spellStart"/>
      <w:r w:rsidRPr="009359C5">
        <w:rPr>
          <w:color w:val="000000" w:themeColor="text1"/>
          <w:sz w:val="22"/>
          <w:lang w:val="en-GB"/>
        </w:rPr>
        <w:t>Museu</w:t>
      </w:r>
      <w:proofErr w:type="spellEnd"/>
      <w:r w:rsidRPr="009359C5">
        <w:rPr>
          <w:color w:val="000000" w:themeColor="text1"/>
          <w:sz w:val="22"/>
          <w:lang w:val="en-GB"/>
        </w:rPr>
        <w:t xml:space="preserve"> do </w:t>
      </w:r>
      <w:proofErr w:type="spellStart"/>
      <w:r w:rsidRPr="009359C5">
        <w:rPr>
          <w:color w:val="000000" w:themeColor="text1"/>
          <w:sz w:val="22"/>
          <w:lang w:val="en-GB"/>
        </w:rPr>
        <w:t>Ar</w:t>
      </w:r>
      <w:proofErr w:type="spellEnd"/>
      <w:r w:rsidRPr="009359C5">
        <w:rPr>
          <w:color w:val="000000" w:themeColor="text1"/>
          <w:sz w:val="22"/>
          <w:lang w:val="en-GB"/>
        </w:rPr>
        <w:t>)</w:t>
      </w:r>
      <w:r w:rsidRPr="009359C5">
        <w:rPr>
          <w:lang w:val="en-GB"/>
        </w:rPr>
        <w:br/>
      </w:r>
      <w:r w:rsidRPr="009359C5">
        <w:rPr>
          <w:color w:val="000000" w:themeColor="text1"/>
          <w:sz w:val="22"/>
          <w:lang w:val="en-GB"/>
        </w:rPr>
        <w:t>Granja do Marquês</w:t>
      </w:r>
      <w:r w:rsidRPr="009359C5">
        <w:rPr>
          <w:lang w:val="en-GB"/>
        </w:rPr>
        <w:br/>
      </w:r>
      <w:r w:rsidRPr="009359C5">
        <w:rPr>
          <w:color w:val="000000" w:themeColor="text1"/>
          <w:sz w:val="22"/>
          <w:lang w:val="en-GB"/>
        </w:rPr>
        <w:t>2715-021 Pêro Pinheiro</w:t>
      </w:r>
    </w:p>
    <w:p w14:paraId="59BA0807" w14:textId="3BCAA62C" w:rsidR="32BB1443" w:rsidRDefault="093982CF" w:rsidP="634D0075">
      <w:pPr>
        <w:spacing w:line="259" w:lineRule="auto"/>
        <w:jc w:val="both"/>
      </w:pPr>
      <w:r>
        <w:rPr>
          <w:rFonts w:ascii="Arial" w:hAnsi="Arial"/>
          <w:b/>
          <w:color w:val="C00000"/>
          <w:sz w:val="22"/>
        </w:rPr>
        <w:t>Eine offene Wissensdatenbank zur Waldbrandbekämpfung</w:t>
      </w:r>
    </w:p>
    <w:p w14:paraId="50A83E21" w14:textId="207411C9" w:rsidR="4E74D7F4" w:rsidRDefault="007A2C6D" w:rsidP="4B0E644F">
      <w:pPr>
        <w:spacing w:line="259" w:lineRule="auto"/>
        <w:jc w:val="both"/>
        <w:rPr>
          <w:rFonts w:ascii="Arial" w:eastAsia="Arial" w:hAnsi="Arial" w:cs="Arial"/>
          <w:color w:val="000000" w:themeColor="text1"/>
          <w:sz w:val="22"/>
          <w:szCs w:val="22"/>
        </w:rPr>
      </w:pPr>
      <w:r w:rsidRPr="56A71484">
        <w:rPr>
          <w:color w:val="000000" w:themeColor="text1"/>
          <w:sz w:val="22"/>
          <w:szCs w:val="22"/>
        </w:rPr>
        <w:t>Viele der in der Ausstellung vorgestellten Technologien basieren auf Patenten, die im Bereich der Waldbrandbekämpfung angemeldet wurden. So wurden zwischen 2016 und 2025 insgesamt 78 europäische Patentanmeldungen in diesem hochspezialisierten Bereich beim E</w:t>
      </w:r>
      <w:r w:rsidR="5604E702" w:rsidRPr="56A71484">
        <w:rPr>
          <w:color w:val="000000" w:themeColor="text1"/>
          <w:sz w:val="22"/>
          <w:szCs w:val="22"/>
        </w:rPr>
        <w:t>PA</w:t>
      </w:r>
      <w:r w:rsidR="00441093">
        <w:rPr>
          <w:color w:val="000000" w:themeColor="text1"/>
          <w:sz w:val="22"/>
          <w:szCs w:val="22"/>
        </w:rPr>
        <w:t xml:space="preserve"> </w:t>
      </w:r>
      <w:r w:rsidRPr="56A71484">
        <w:rPr>
          <w:color w:val="000000" w:themeColor="text1"/>
          <w:sz w:val="22"/>
          <w:szCs w:val="22"/>
        </w:rPr>
        <w:t>eingereicht</w:t>
      </w:r>
      <w:r w:rsidR="5C95FE74" w:rsidRPr="56A71484">
        <w:rPr>
          <w:color w:val="000000" w:themeColor="text1"/>
          <w:sz w:val="22"/>
          <w:szCs w:val="22"/>
        </w:rPr>
        <w:t>. Sie decken</w:t>
      </w:r>
      <w:r w:rsidRPr="56A71484">
        <w:rPr>
          <w:color w:val="000000" w:themeColor="text1"/>
          <w:sz w:val="22"/>
          <w:szCs w:val="22"/>
        </w:rPr>
        <w:t xml:space="preserve"> Technologien zur Erkennung, Ver</w:t>
      </w:r>
      <w:r w:rsidR="15EF6221" w:rsidRPr="56A71484">
        <w:rPr>
          <w:color w:val="000000" w:themeColor="text1"/>
          <w:sz w:val="22"/>
          <w:szCs w:val="22"/>
        </w:rPr>
        <w:t>meid</w:t>
      </w:r>
      <w:r w:rsidRPr="56A71484">
        <w:rPr>
          <w:color w:val="000000" w:themeColor="text1"/>
          <w:sz w:val="22"/>
          <w:szCs w:val="22"/>
        </w:rPr>
        <w:t>ung und Bekämpfung von Waldbränden ab.</w:t>
      </w:r>
    </w:p>
    <w:p w14:paraId="667B033C" w14:textId="4BBAE115" w:rsidR="004935BC" w:rsidRDefault="4E74D7F4" w:rsidP="0F169B24">
      <w:pPr>
        <w:spacing w:line="259" w:lineRule="auto"/>
        <w:jc w:val="both"/>
        <w:rPr>
          <w:rFonts w:ascii="Arial" w:eastAsia="Arial" w:hAnsi="Arial" w:cs="Arial"/>
          <w:color w:val="000000" w:themeColor="text1"/>
          <w:sz w:val="22"/>
          <w:szCs w:val="22"/>
        </w:rPr>
      </w:pPr>
      <w:r w:rsidRPr="56A71484">
        <w:rPr>
          <w:color w:val="000000" w:themeColor="text1"/>
          <w:sz w:val="22"/>
          <w:szCs w:val="22"/>
        </w:rPr>
        <w:t xml:space="preserve">Diese können </w:t>
      </w:r>
      <w:r w:rsidR="2550FE7E" w:rsidRPr="56A71484">
        <w:rPr>
          <w:color w:val="000000" w:themeColor="text1"/>
          <w:sz w:val="22"/>
          <w:szCs w:val="22"/>
        </w:rPr>
        <w:t xml:space="preserve">auch </w:t>
      </w:r>
      <w:r w:rsidRPr="56A71484">
        <w:rPr>
          <w:color w:val="000000" w:themeColor="text1"/>
          <w:sz w:val="22"/>
          <w:szCs w:val="22"/>
        </w:rPr>
        <w:t>über die Brandbekämpfungsplattform des EPA erkundet werden</w:t>
      </w:r>
      <w:r w:rsidR="76C381A4" w:rsidRPr="56A71484">
        <w:rPr>
          <w:color w:val="000000" w:themeColor="text1"/>
          <w:sz w:val="22"/>
          <w:szCs w:val="22"/>
        </w:rPr>
        <w:t xml:space="preserve">. </w:t>
      </w:r>
      <w:r w:rsidR="4DA02EA2" w:rsidRPr="56A71484">
        <w:rPr>
          <w:color w:val="000000" w:themeColor="text1"/>
          <w:sz w:val="22"/>
          <w:szCs w:val="22"/>
        </w:rPr>
        <w:t>S</w:t>
      </w:r>
      <w:r w:rsidRPr="56A71484">
        <w:rPr>
          <w:color w:val="000000" w:themeColor="text1"/>
          <w:sz w:val="22"/>
          <w:szCs w:val="22"/>
        </w:rPr>
        <w:t>ie</w:t>
      </w:r>
      <w:r w:rsidR="6CB23180" w:rsidRPr="56A71484">
        <w:rPr>
          <w:color w:val="000000" w:themeColor="text1"/>
          <w:sz w:val="22"/>
          <w:szCs w:val="22"/>
        </w:rPr>
        <w:t xml:space="preserve"> bietet</w:t>
      </w:r>
      <w:r w:rsidRPr="56A71484">
        <w:rPr>
          <w:color w:val="000000" w:themeColor="text1"/>
          <w:sz w:val="22"/>
          <w:szCs w:val="22"/>
        </w:rPr>
        <w:t xml:space="preserve"> einen strukturierten Zugang zu weltweitem, patentbasiertem technischem Wissen in Schlüsselbereichen wie Erkennung und Prävention, Brandbekämpfung, Schutzausrüstung und Sanierung nach Brandschäden bietet. Die Plattform wird kontinuierlich aktualisiert und ermöglicht es den Nutzern, </w:t>
      </w:r>
      <w:r w:rsidR="7DF4521B" w:rsidRPr="56A71484">
        <w:rPr>
          <w:color w:val="000000" w:themeColor="text1"/>
          <w:sz w:val="22"/>
          <w:szCs w:val="22"/>
        </w:rPr>
        <w:t xml:space="preserve">sich </w:t>
      </w:r>
      <w:r w:rsidRPr="56A71484">
        <w:rPr>
          <w:color w:val="000000" w:themeColor="text1"/>
          <w:sz w:val="22"/>
          <w:szCs w:val="22"/>
        </w:rPr>
        <w:t xml:space="preserve">anhand von Patentinformationen </w:t>
      </w:r>
      <w:r w:rsidR="0F49E2C6" w:rsidRPr="56A71484">
        <w:rPr>
          <w:color w:val="000000" w:themeColor="text1"/>
          <w:sz w:val="22"/>
          <w:szCs w:val="22"/>
        </w:rPr>
        <w:t xml:space="preserve">über </w:t>
      </w:r>
      <w:r w:rsidRPr="56A71484">
        <w:rPr>
          <w:color w:val="000000" w:themeColor="text1"/>
          <w:sz w:val="22"/>
          <w:szCs w:val="22"/>
        </w:rPr>
        <w:t xml:space="preserve">konkrete technologische Lösungen und Innovationsaktivitäten zu </w:t>
      </w:r>
      <w:r w:rsidR="12B557A9" w:rsidRPr="56A71484">
        <w:rPr>
          <w:color w:val="000000" w:themeColor="text1"/>
          <w:sz w:val="22"/>
          <w:szCs w:val="22"/>
        </w:rPr>
        <w:t>informieren</w:t>
      </w:r>
      <w:r w:rsidRPr="56A71484">
        <w:rPr>
          <w:color w:val="000000" w:themeColor="text1"/>
          <w:sz w:val="22"/>
          <w:szCs w:val="22"/>
        </w:rPr>
        <w:t>, was wiederum die Grundlage für neue Ideen und Erfindungen im Bereich der Brandbekämpfung bilden kann.</w:t>
      </w:r>
    </w:p>
    <w:p w14:paraId="5B3ADB61" w14:textId="10273BB4" w:rsidR="004935BC" w:rsidRDefault="68144D71" w:rsidP="695D10C0">
      <w:pPr>
        <w:spacing w:line="259" w:lineRule="auto"/>
        <w:jc w:val="both"/>
        <w:rPr>
          <w:rFonts w:ascii="Arial" w:eastAsia="Arial" w:hAnsi="Arial" w:cs="Arial"/>
          <w:color w:val="000000" w:themeColor="text1"/>
          <w:sz w:val="22"/>
          <w:szCs w:val="22"/>
        </w:rPr>
      </w:pPr>
      <w:r>
        <w:rPr>
          <w:rFonts w:ascii="Arial" w:hAnsi="Arial"/>
          <w:b/>
          <w:color w:val="C00000"/>
          <w:sz w:val="22"/>
        </w:rPr>
        <w:t>Portugiesische Patentanmeldungen</w:t>
      </w:r>
    </w:p>
    <w:p w14:paraId="6829BD04" w14:textId="1E41CC48" w:rsidR="242012B7" w:rsidRDefault="242012B7" w:rsidP="694115E1">
      <w:pPr>
        <w:spacing w:after="120" w:line="259" w:lineRule="auto"/>
        <w:jc w:val="both"/>
        <w:rPr>
          <w:rFonts w:ascii="Arial" w:eastAsia="Arial" w:hAnsi="Arial" w:cs="Arial"/>
          <w:color w:val="000000" w:themeColor="text1"/>
          <w:sz w:val="22"/>
          <w:szCs w:val="22"/>
        </w:rPr>
      </w:pPr>
      <w:r>
        <w:rPr>
          <w:rFonts w:ascii="Arial" w:hAnsi="Arial"/>
          <w:color w:val="000000" w:themeColor="text1"/>
          <w:sz w:val="22"/>
        </w:rPr>
        <w:t>Zwischen 2016 und 2025 wurde beim Europäischen Patentamt eine wachsende Zahl von Patentanmeldungen im Zusammenhang mit Technologien zur Waldbrandbekämpfung eingereicht, darunter auch Beiträge portugiesischer Anmelder/innen.</w:t>
      </w:r>
    </w:p>
    <w:p w14:paraId="27F94C56" w14:textId="21748900" w:rsidR="242012B7" w:rsidRDefault="352104D2" w:rsidP="694115E1">
      <w:pPr>
        <w:spacing w:after="120" w:line="259" w:lineRule="auto"/>
        <w:jc w:val="both"/>
      </w:pPr>
      <w:r w:rsidRPr="56A71484">
        <w:rPr>
          <w:color w:val="000000" w:themeColor="text1"/>
          <w:sz w:val="22"/>
          <w:szCs w:val="22"/>
        </w:rPr>
        <w:t xml:space="preserve">Auch wenn Portugal </w:t>
      </w:r>
      <w:proofErr w:type="gramStart"/>
      <w:r w:rsidRPr="56A71484">
        <w:rPr>
          <w:color w:val="000000" w:themeColor="text1"/>
          <w:sz w:val="22"/>
          <w:szCs w:val="22"/>
        </w:rPr>
        <w:t>ein relativ</w:t>
      </w:r>
      <w:proofErr w:type="gramEnd"/>
      <w:r w:rsidRPr="56A71484">
        <w:rPr>
          <w:color w:val="000000" w:themeColor="text1"/>
          <w:sz w:val="22"/>
          <w:szCs w:val="22"/>
        </w:rPr>
        <w:t xml:space="preserve"> kleines Land ist, verzeichnet es einen deutlichen Anstieg seiner Innovationsaktivitäten, und das Wachstum bei den Patentanmeldungen unterstreicht seine zunehmende Bedeutung innerhalb der europäischen Innovationslandschaft. Dieser Trend scheint insbesondere durch die drängenden Herausforderungen stark stimuliert zu werden, denen sich </w:t>
      </w:r>
      <w:r w:rsidRPr="56A71484">
        <w:rPr>
          <w:color w:val="000000" w:themeColor="text1"/>
          <w:sz w:val="22"/>
          <w:szCs w:val="22"/>
        </w:rPr>
        <w:lastRenderedPageBreak/>
        <w:t>die südeuropäischen Länder im Kontext des beschleunigten Klimawandels gegenübersehen, vor allem in Bereichen wie Energie, Umwelttechnologien und Klimaanpassung.</w:t>
      </w:r>
    </w:p>
    <w:p w14:paraId="19A7AF17" w14:textId="77777777" w:rsidR="001D2DAC" w:rsidRPr="009359C5" w:rsidRDefault="001D2DAC" w:rsidP="695D10C0">
      <w:pPr>
        <w:spacing w:line="276" w:lineRule="auto"/>
        <w:jc w:val="both"/>
        <w:rPr>
          <w:rFonts w:ascii="Arial" w:eastAsia="Arial" w:hAnsi="Arial" w:cs="Arial"/>
          <w:b/>
          <w:bCs/>
          <w:color w:val="21252C"/>
          <w:sz w:val="22"/>
          <w:szCs w:val="22"/>
        </w:rPr>
      </w:pPr>
    </w:p>
    <w:p w14:paraId="039969CE" w14:textId="0B9D1936" w:rsidR="004935BC" w:rsidRDefault="1DA6B1CD" w:rsidP="695D10C0">
      <w:pPr>
        <w:spacing w:line="276" w:lineRule="auto"/>
        <w:jc w:val="both"/>
        <w:rPr>
          <w:rFonts w:ascii="Arial" w:eastAsia="Arial" w:hAnsi="Arial" w:cs="Arial"/>
          <w:b/>
          <w:bCs/>
          <w:color w:val="21252C"/>
          <w:sz w:val="22"/>
          <w:szCs w:val="22"/>
          <w:highlight w:val="yellow"/>
        </w:rPr>
      </w:pPr>
      <w:r w:rsidRPr="13A546B8">
        <w:rPr>
          <w:b/>
          <w:bCs/>
          <w:color w:val="21252C"/>
          <w:sz w:val="22"/>
          <w:szCs w:val="22"/>
        </w:rPr>
        <w:t>Weitere Informationen</w:t>
      </w:r>
    </w:p>
    <w:p w14:paraId="1C55C7FA" w14:textId="192FCC8D" w:rsidR="004935BC" w:rsidRDefault="6241535C" w:rsidP="13A546B8">
      <w:pPr>
        <w:pStyle w:val="ListParagraph"/>
        <w:numPr>
          <w:ilvl w:val="0"/>
          <w:numId w:val="2"/>
        </w:numPr>
        <w:spacing w:line="276" w:lineRule="auto"/>
        <w:jc w:val="both"/>
        <w:rPr>
          <w:rFonts w:ascii="Arial" w:eastAsia="Arial" w:hAnsi="Arial" w:cs="Arial"/>
          <w:color w:val="21252C"/>
          <w:sz w:val="22"/>
          <w:szCs w:val="22"/>
        </w:rPr>
      </w:pPr>
      <w:hyperlink r:id="rId12">
        <w:r w:rsidRPr="13A546B8">
          <w:rPr>
            <w:rStyle w:val="Hyperlink"/>
            <w:sz w:val="22"/>
            <w:szCs w:val="22"/>
          </w:rPr>
          <w:t>Brandbekämpfungsplattform des EPA</w:t>
        </w:r>
      </w:hyperlink>
    </w:p>
    <w:p w14:paraId="277C636E" w14:textId="75F226FF" w:rsidR="520C3966" w:rsidRDefault="6F43A38E" w:rsidP="13A546B8">
      <w:pPr>
        <w:pStyle w:val="ListParagraph"/>
        <w:numPr>
          <w:ilvl w:val="0"/>
          <w:numId w:val="2"/>
        </w:numPr>
        <w:spacing w:line="276" w:lineRule="auto"/>
        <w:jc w:val="both"/>
        <w:rPr>
          <w:rFonts w:ascii="Arial" w:eastAsia="Arial" w:hAnsi="Arial" w:cs="Arial"/>
          <w:color w:val="21252C"/>
          <w:sz w:val="22"/>
          <w:szCs w:val="22"/>
        </w:rPr>
      </w:pPr>
      <w:hyperlink r:id="rId13">
        <w:r w:rsidRPr="56A71484">
          <w:rPr>
            <w:rStyle w:val="Hyperlink"/>
            <w:sz w:val="22"/>
            <w:szCs w:val="22"/>
          </w:rPr>
          <w:t>Portugiesischen Instituts für gewerbliches Eigentum (INPI)</w:t>
        </w:r>
      </w:hyperlink>
    </w:p>
    <w:p w14:paraId="3C803925" w14:textId="04D1AA56" w:rsidR="520C3966" w:rsidRDefault="520C3966" w:rsidP="13A546B8">
      <w:pPr>
        <w:pStyle w:val="ListParagraph"/>
        <w:numPr>
          <w:ilvl w:val="0"/>
          <w:numId w:val="2"/>
        </w:numPr>
        <w:spacing w:line="276" w:lineRule="auto"/>
        <w:jc w:val="both"/>
        <w:rPr>
          <w:rFonts w:ascii="Arial" w:eastAsia="Arial" w:hAnsi="Arial" w:cs="Arial"/>
          <w:color w:val="21252C"/>
          <w:sz w:val="22"/>
          <w:szCs w:val="22"/>
        </w:rPr>
      </w:pPr>
      <w:hyperlink r:id="rId14">
        <w:r w:rsidRPr="13A546B8">
          <w:rPr>
            <w:rStyle w:val="Hyperlink"/>
            <w:sz w:val="22"/>
            <w:szCs w:val="22"/>
          </w:rPr>
          <w:t xml:space="preserve">Liga dos </w:t>
        </w:r>
        <w:proofErr w:type="spellStart"/>
        <w:r w:rsidRPr="13A546B8">
          <w:rPr>
            <w:rStyle w:val="Hyperlink"/>
            <w:sz w:val="22"/>
            <w:szCs w:val="22"/>
          </w:rPr>
          <w:t>Bombeiros</w:t>
        </w:r>
        <w:proofErr w:type="spellEnd"/>
        <w:r w:rsidRPr="13A546B8">
          <w:rPr>
            <w:rStyle w:val="Hyperlink"/>
            <w:sz w:val="22"/>
            <w:szCs w:val="22"/>
          </w:rPr>
          <w:t xml:space="preserve"> </w:t>
        </w:r>
        <w:proofErr w:type="spellStart"/>
        <w:r w:rsidRPr="13A546B8">
          <w:rPr>
            <w:rStyle w:val="Hyperlink"/>
            <w:sz w:val="22"/>
            <w:szCs w:val="22"/>
          </w:rPr>
          <w:t>Portugueses</w:t>
        </w:r>
        <w:proofErr w:type="spellEnd"/>
      </w:hyperlink>
    </w:p>
    <w:p w14:paraId="56E4409C" w14:textId="727F7DE8" w:rsidR="004935BC" w:rsidRDefault="004935BC" w:rsidP="695D10C0">
      <w:pPr>
        <w:spacing w:line="285" w:lineRule="auto"/>
        <w:rPr>
          <w:rFonts w:ascii="Arial" w:eastAsia="Arial" w:hAnsi="Arial" w:cs="Arial"/>
          <w:color w:val="467886"/>
          <w:sz w:val="22"/>
          <w:szCs w:val="22"/>
          <w:lang w:val="it-IT"/>
        </w:rPr>
      </w:pPr>
    </w:p>
    <w:p w14:paraId="353FF033" w14:textId="5DE9174F" w:rsidR="004935BC" w:rsidRDefault="1DA6B1CD" w:rsidP="695D10C0">
      <w:pPr>
        <w:spacing w:line="285" w:lineRule="auto"/>
        <w:rPr>
          <w:rFonts w:ascii="Arial" w:eastAsia="Arial" w:hAnsi="Arial" w:cs="Arial"/>
          <w:color w:val="000000" w:themeColor="text1"/>
          <w:sz w:val="20"/>
          <w:szCs w:val="20"/>
        </w:rPr>
      </w:pPr>
      <w:r>
        <w:rPr>
          <w:rFonts w:ascii="Arial" w:hAnsi="Arial"/>
          <w:b/>
          <w:color w:val="000000" w:themeColor="text1"/>
          <w:sz w:val="20"/>
        </w:rPr>
        <w:t>Medienkontakte Europäisches Patentamt</w:t>
      </w:r>
    </w:p>
    <w:p w14:paraId="1E51EBEA" w14:textId="3875B5F1" w:rsidR="004935BC" w:rsidRDefault="1DA6B1CD" w:rsidP="695D10C0">
      <w:pPr>
        <w:rPr>
          <w:rFonts w:ascii="Arial" w:eastAsia="Arial" w:hAnsi="Arial" w:cs="Arial"/>
          <w:color w:val="000000" w:themeColor="text1"/>
          <w:sz w:val="20"/>
          <w:szCs w:val="20"/>
        </w:rPr>
      </w:pPr>
      <w:r>
        <w:rPr>
          <w:rFonts w:ascii="Arial" w:hAnsi="Arial"/>
          <w:b/>
          <w:color w:val="000000" w:themeColor="text1"/>
          <w:sz w:val="20"/>
        </w:rPr>
        <w:t>Roberta Romano-Götsch</w:t>
      </w:r>
      <w:r>
        <w:rPr>
          <w:rFonts w:ascii="Arial" w:hAnsi="Arial"/>
          <w:color w:val="000000" w:themeColor="text1"/>
          <w:sz w:val="20"/>
        </w:rPr>
        <w:t xml:space="preserve"> </w:t>
      </w:r>
      <w:r>
        <w:br/>
      </w:r>
      <w:r>
        <w:rPr>
          <w:rFonts w:ascii="Arial" w:hAnsi="Arial"/>
          <w:color w:val="000000" w:themeColor="text1"/>
          <w:sz w:val="20"/>
        </w:rPr>
        <w:t>EPA-Sprecherin</w:t>
      </w:r>
    </w:p>
    <w:p w14:paraId="59AE85E5" w14:textId="38A57BC8" w:rsidR="004935BC" w:rsidRDefault="1DA6B1CD" w:rsidP="695D10C0">
      <w:pPr>
        <w:tabs>
          <w:tab w:val="left" w:pos="6864"/>
        </w:tabs>
        <w:rPr>
          <w:rFonts w:ascii="Arial" w:eastAsia="Arial" w:hAnsi="Arial" w:cs="Arial"/>
          <w:color w:val="000000" w:themeColor="text1"/>
          <w:sz w:val="20"/>
          <w:szCs w:val="20"/>
        </w:rPr>
      </w:pPr>
      <w:r>
        <w:rPr>
          <w:rFonts w:ascii="Arial" w:hAnsi="Arial"/>
          <w:b/>
          <w:color w:val="000000" w:themeColor="text1"/>
          <w:sz w:val="20"/>
        </w:rPr>
        <w:t>EPA-Pressestelle</w:t>
      </w:r>
    </w:p>
    <w:p w14:paraId="4082603C" w14:textId="57A26AE7" w:rsidR="004935BC" w:rsidRDefault="008138E0" w:rsidP="695D10C0">
      <w:pPr>
        <w:rPr>
          <w:rFonts w:ascii="Arial" w:eastAsia="Arial" w:hAnsi="Arial" w:cs="Arial"/>
          <w:color w:val="000000" w:themeColor="text1"/>
          <w:sz w:val="20"/>
          <w:szCs w:val="20"/>
        </w:rPr>
      </w:pPr>
      <w:hyperlink r:id="rId15">
        <w:r>
          <w:rPr>
            <w:rStyle w:val="Hyperlink"/>
            <w:rFonts w:ascii="Arial" w:hAnsi="Arial"/>
            <w:sz w:val="20"/>
          </w:rPr>
          <w:t>press@epo.org</w:t>
        </w:r>
      </w:hyperlink>
      <w:r>
        <w:rPr>
          <w:rFonts w:ascii="Arial" w:hAnsi="Arial"/>
          <w:color w:val="000000" w:themeColor="text1"/>
          <w:sz w:val="20"/>
        </w:rPr>
        <w:t xml:space="preserve"> </w:t>
      </w:r>
      <w:r>
        <w:br/>
      </w:r>
    </w:p>
    <w:p w14:paraId="3464EEE4" w14:textId="4581FD41" w:rsidR="004935BC" w:rsidRDefault="1DA6B1CD" w:rsidP="695D10C0">
      <w:pPr>
        <w:jc w:val="both"/>
        <w:rPr>
          <w:rFonts w:ascii="Arial" w:eastAsia="Arial" w:hAnsi="Arial" w:cs="Arial"/>
          <w:color w:val="000000" w:themeColor="text1"/>
          <w:sz w:val="20"/>
          <w:szCs w:val="20"/>
        </w:rPr>
      </w:pPr>
      <w:r>
        <w:rPr>
          <w:rFonts w:ascii="Arial" w:hAnsi="Arial"/>
          <w:b/>
          <w:color w:val="000000" w:themeColor="text1"/>
          <w:sz w:val="20"/>
        </w:rPr>
        <w:t>Über das EPA</w:t>
      </w:r>
    </w:p>
    <w:p w14:paraId="2C078E63" w14:textId="65D3A571" w:rsidR="004935BC" w:rsidRDefault="1DA6B1CD" w:rsidP="694115E1">
      <w:pPr>
        <w:jc w:val="both"/>
        <w:rPr>
          <w:rFonts w:ascii="Arial" w:eastAsia="Arial" w:hAnsi="Arial" w:cs="Arial"/>
          <w:color w:val="000000" w:themeColor="text1"/>
          <w:sz w:val="20"/>
          <w:szCs w:val="20"/>
        </w:rPr>
      </w:pPr>
      <w:r>
        <w:rPr>
          <w:rFonts w:ascii="Arial" w:hAnsi="Arial"/>
          <w:color w:val="000000" w:themeColor="text1"/>
          <w:sz w:val="20"/>
        </w:rPr>
        <w:t xml:space="preserve">Mit 6 300 Beschäftigten ist das </w:t>
      </w:r>
      <w:hyperlink r:id="rId16">
        <w:r>
          <w:rPr>
            <w:rStyle w:val="Hyperlink"/>
            <w:rFonts w:ascii="Arial" w:hAnsi="Arial"/>
            <w:sz w:val="20"/>
          </w:rPr>
          <w:t>Europäische Patentamt (EPA)</w:t>
        </w:r>
      </w:hyperlink>
      <w:r>
        <w:rPr>
          <w:rFonts w:ascii="Arial" w:hAnsi="Arial"/>
          <w:color w:val="000000" w:themeColor="text1"/>
          <w:sz w:val="20"/>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46 Staaten erlangen, die zusammen einen Markt von rund 700 Millionen Menschen umfassen. Das EPA ist ferner weltweit führend in den Bereichen Patentinformation und Patentrecherche.</w:t>
      </w:r>
    </w:p>
    <w:p w14:paraId="304DC514" w14:textId="21B28B2D" w:rsidR="02C6F4DE" w:rsidRDefault="02C6F4DE" w:rsidP="56A71484">
      <w:pPr>
        <w:jc w:val="both"/>
        <w:rPr>
          <w:rFonts w:ascii="Arial" w:eastAsia="Arial" w:hAnsi="Arial" w:cs="Arial"/>
          <w:b/>
          <w:bCs/>
          <w:color w:val="000000" w:themeColor="text1"/>
          <w:sz w:val="20"/>
          <w:szCs w:val="20"/>
        </w:rPr>
      </w:pPr>
      <w:r w:rsidRPr="56A71484">
        <w:rPr>
          <w:b/>
          <w:bCs/>
          <w:color w:val="000000" w:themeColor="text1"/>
          <w:sz w:val="20"/>
          <w:szCs w:val="20"/>
        </w:rPr>
        <w:t xml:space="preserve">Über INPI Portugal </w:t>
      </w:r>
    </w:p>
    <w:p w14:paraId="354D78C5" w14:textId="2EB47CBC" w:rsidR="01326082" w:rsidRDefault="01326082" w:rsidP="56A71484">
      <w:pPr>
        <w:spacing w:before="240" w:after="240"/>
        <w:jc w:val="both"/>
        <w:rPr>
          <w:rFonts w:ascii="Arial" w:eastAsia="Arial" w:hAnsi="Arial" w:cs="Arial"/>
          <w:sz w:val="20"/>
          <w:szCs w:val="20"/>
        </w:rPr>
      </w:pPr>
      <w:r w:rsidRPr="56A71484">
        <w:rPr>
          <w:rFonts w:ascii="Arial" w:eastAsia="Arial" w:hAnsi="Arial" w:cs="Arial"/>
          <w:sz w:val="20"/>
          <w:szCs w:val="20"/>
        </w:rPr>
        <w:t>Das</w:t>
      </w:r>
      <w:r w:rsidR="31AB0E7A" w:rsidRPr="56A71484">
        <w:rPr>
          <w:rFonts w:ascii="Arial" w:eastAsia="Arial" w:hAnsi="Arial" w:cs="Arial"/>
          <w:sz w:val="20"/>
          <w:szCs w:val="20"/>
        </w:rPr>
        <w:t xml:space="preserve"> portugiesischen Instituts für gewerbliches Eigentum</w:t>
      </w:r>
      <w:r w:rsidRPr="56A71484">
        <w:rPr>
          <w:rFonts w:ascii="Arial" w:eastAsia="Arial" w:hAnsi="Arial" w:cs="Arial"/>
          <w:sz w:val="20"/>
          <w:szCs w:val="20"/>
        </w:rPr>
        <w:t xml:space="preserve"> </w:t>
      </w:r>
      <w:r w:rsidR="3922B2C9" w:rsidRPr="56A71484">
        <w:rPr>
          <w:rFonts w:ascii="Arial" w:eastAsia="Arial" w:hAnsi="Arial" w:cs="Arial"/>
          <w:sz w:val="20"/>
          <w:szCs w:val="20"/>
        </w:rPr>
        <w:t>(</w:t>
      </w:r>
      <w:r w:rsidRPr="56A71484">
        <w:rPr>
          <w:rFonts w:ascii="Arial" w:eastAsia="Arial" w:hAnsi="Arial" w:cs="Arial"/>
          <w:sz w:val="20"/>
          <w:szCs w:val="20"/>
        </w:rPr>
        <w:t>INPI</w:t>
      </w:r>
      <w:r w:rsidR="3D50E25A" w:rsidRPr="56A71484">
        <w:rPr>
          <w:rFonts w:ascii="Arial" w:eastAsia="Arial" w:hAnsi="Arial" w:cs="Arial"/>
          <w:sz w:val="20"/>
          <w:szCs w:val="20"/>
        </w:rPr>
        <w:t>)</w:t>
      </w:r>
      <w:r w:rsidRPr="56A71484">
        <w:rPr>
          <w:rFonts w:ascii="Arial" w:eastAsia="Arial" w:hAnsi="Arial" w:cs="Arial"/>
          <w:sz w:val="20"/>
          <w:szCs w:val="20"/>
        </w:rPr>
        <w:t xml:space="preserve"> ist eine Einrichtung, die dem Justizminister untersteht (in Abstimmung mit dem Minister für Wirtschaft und territorialen Zusammenhalt sowie dem Minister für Bildung, Wissenschaft und Innovation). Seine Aufgabe besteht darin, den Schutz des gewerblichen Eigentums zu gewährleisten und dafür zu sorgen, dass die Erteilung, Aufrechterhaltung und Beendigung von Rechten ordnungsgemäß, effizient und zeitnah erfolgt. </w:t>
      </w:r>
    </w:p>
    <w:p w14:paraId="763C6653" w14:textId="794CB62F" w:rsidR="01326082" w:rsidRDefault="01326082" w:rsidP="56A71484">
      <w:pPr>
        <w:spacing w:before="240" w:after="240"/>
        <w:jc w:val="both"/>
        <w:rPr>
          <w:rFonts w:ascii="Arial" w:eastAsia="Arial" w:hAnsi="Arial" w:cs="Arial"/>
          <w:sz w:val="20"/>
          <w:szCs w:val="20"/>
        </w:rPr>
      </w:pPr>
      <w:r w:rsidRPr="56A71484">
        <w:rPr>
          <w:rFonts w:ascii="Arial" w:eastAsia="Arial" w:hAnsi="Arial" w:cs="Arial"/>
          <w:sz w:val="20"/>
          <w:szCs w:val="20"/>
        </w:rPr>
        <w:t>Außerdem zielt es darauf ab, Innovation, Entwicklung und das Wirtschaftswachstum des Landes zu fördern sowie Fälschungen und unlauteren Wettbewerb zu bekämpfen.</w:t>
      </w:r>
    </w:p>
    <w:p w14:paraId="18937CBF" w14:textId="254CE003" w:rsidR="56A71484" w:rsidRDefault="56A71484" w:rsidP="56A71484">
      <w:pPr>
        <w:jc w:val="both"/>
        <w:rPr>
          <w:b/>
          <w:bCs/>
          <w:color w:val="000000" w:themeColor="text1"/>
          <w:sz w:val="20"/>
          <w:szCs w:val="20"/>
        </w:rPr>
      </w:pPr>
    </w:p>
    <w:sectPr w:rsidR="56A7148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62EF" w14:textId="77777777" w:rsidR="00DA5C66" w:rsidRDefault="00DA5C66">
      <w:pPr>
        <w:spacing w:after="0" w:line="240" w:lineRule="auto"/>
      </w:pPr>
      <w:r>
        <w:separator/>
      </w:r>
    </w:p>
  </w:endnote>
  <w:endnote w:type="continuationSeparator" w:id="0">
    <w:p w14:paraId="333720B5" w14:textId="77777777" w:rsidR="00DA5C66" w:rsidRDefault="00DA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95D10C0" w14:paraId="671007B2" w14:textId="77777777" w:rsidTr="695D10C0">
      <w:trPr>
        <w:trHeight w:val="300"/>
      </w:trPr>
      <w:tc>
        <w:tcPr>
          <w:tcW w:w="3120" w:type="dxa"/>
        </w:tcPr>
        <w:p w14:paraId="28283256" w14:textId="418381FF" w:rsidR="695D10C0" w:rsidRDefault="695D10C0" w:rsidP="695D10C0">
          <w:pPr>
            <w:pStyle w:val="Header"/>
            <w:ind w:left="-115"/>
          </w:pPr>
        </w:p>
      </w:tc>
      <w:tc>
        <w:tcPr>
          <w:tcW w:w="3120" w:type="dxa"/>
        </w:tcPr>
        <w:p w14:paraId="42938772" w14:textId="6810FA1E" w:rsidR="695D10C0" w:rsidRDefault="695D10C0" w:rsidP="695D10C0">
          <w:pPr>
            <w:pStyle w:val="Header"/>
            <w:jc w:val="center"/>
          </w:pPr>
        </w:p>
      </w:tc>
      <w:tc>
        <w:tcPr>
          <w:tcW w:w="3120" w:type="dxa"/>
        </w:tcPr>
        <w:p w14:paraId="734218F8" w14:textId="1A25CD5D" w:rsidR="695D10C0" w:rsidRDefault="695D10C0" w:rsidP="695D10C0">
          <w:pPr>
            <w:pStyle w:val="Header"/>
            <w:ind w:right="-115"/>
            <w:jc w:val="right"/>
          </w:pPr>
        </w:p>
      </w:tc>
    </w:tr>
  </w:tbl>
  <w:p w14:paraId="481D167F" w14:textId="293F6E01" w:rsidR="695D10C0" w:rsidRDefault="695D10C0" w:rsidP="695D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6D0F" w14:textId="77777777" w:rsidR="00DA5C66" w:rsidRDefault="00DA5C66">
      <w:pPr>
        <w:spacing w:after="0" w:line="240" w:lineRule="auto"/>
      </w:pPr>
      <w:r>
        <w:separator/>
      </w:r>
    </w:p>
  </w:footnote>
  <w:footnote w:type="continuationSeparator" w:id="0">
    <w:p w14:paraId="76F9B7BE" w14:textId="77777777" w:rsidR="00DA5C66" w:rsidRDefault="00DA5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95D10C0" w14:paraId="68EC35AF" w14:textId="77777777" w:rsidTr="695D10C0">
      <w:trPr>
        <w:trHeight w:val="300"/>
      </w:trPr>
      <w:tc>
        <w:tcPr>
          <w:tcW w:w="3120" w:type="dxa"/>
        </w:tcPr>
        <w:p w14:paraId="62F945CA" w14:textId="5AD3F0D0" w:rsidR="695D10C0" w:rsidRDefault="695D10C0" w:rsidP="695D10C0">
          <w:pPr>
            <w:pStyle w:val="Header"/>
            <w:ind w:left="-115"/>
          </w:pPr>
          <w:r>
            <w:rPr>
              <w:noProof/>
            </w:rPr>
            <w:drawing>
              <wp:inline distT="0" distB="0" distL="0" distR="0" wp14:anchorId="5BB29C7B" wp14:editId="4FE67B49">
                <wp:extent cx="1485900" cy="742950"/>
                <wp:effectExtent l="0" t="0" r="0" b="0"/>
                <wp:docPr id="1306014132" name="drawing" title="Logo European Patent Office">
                  <a:extLst xmlns:a="http://schemas.openxmlformats.org/drawingml/2006/main">
                    <a:ext uri="{FF2B5EF4-FFF2-40B4-BE49-F238E27FC236}">
                      <a16:creationId xmlns:a16="http://schemas.microsoft.com/office/drawing/2014/main" id="{E2DD4897-049D-4828-8DF4-4FF5E4B600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14132" name="Picture 1306014132"/>
                        <pic:cNvPicPr/>
                      </pic:nvPicPr>
                      <pic:blipFill>
                        <a:blip r:embed="rId1">
                          <a:extLst>
                            <a:ext uri="{28A0092B-C50C-407E-A947-70E740481C1C}">
                              <a14:useLocalDpi xmlns:a14="http://schemas.microsoft.com/office/drawing/2010/main"/>
                            </a:ext>
                          </a:extLst>
                        </a:blip>
                        <a:stretch>
                          <a:fillRect/>
                        </a:stretch>
                      </pic:blipFill>
                      <pic:spPr>
                        <a:xfrm>
                          <a:off x="0" y="0"/>
                          <a:ext cx="1485900" cy="742950"/>
                        </a:xfrm>
                        <a:prstGeom prst="rect">
                          <a:avLst/>
                        </a:prstGeom>
                      </pic:spPr>
                    </pic:pic>
                  </a:graphicData>
                </a:graphic>
              </wp:inline>
            </w:drawing>
          </w:r>
        </w:p>
      </w:tc>
      <w:tc>
        <w:tcPr>
          <w:tcW w:w="3120" w:type="dxa"/>
        </w:tcPr>
        <w:p w14:paraId="35C4E588" w14:textId="543A21A7" w:rsidR="695D10C0" w:rsidRDefault="695D10C0" w:rsidP="695D10C0">
          <w:pPr>
            <w:pStyle w:val="Header"/>
            <w:jc w:val="center"/>
          </w:pPr>
        </w:p>
      </w:tc>
      <w:tc>
        <w:tcPr>
          <w:tcW w:w="3120" w:type="dxa"/>
        </w:tcPr>
        <w:p w14:paraId="1A8EF4E0" w14:textId="4DA31CE4" w:rsidR="695D10C0" w:rsidRDefault="695D10C0" w:rsidP="695D10C0">
          <w:pPr>
            <w:pStyle w:val="Header"/>
            <w:ind w:right="-115"/>
            <w:jc w:val="right"/>
          </w:pPr>
        </w:p>
      </w:tc>
    </w:tr>
  </w:tbl>
  <w:p w14:paraId="15116145" w14:textId="76225654" w:rsidR="695D10C0" w:rsidRDefault="695D10C0" w:rsidP="695D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FAA38"/>
    <w:multiLevelType w:val="hybridMultilevel"/>
    <w:tmpl w:val="989C1046"/>
    <w:lvl w:ilvl="0" w:tplc="B922EFCA">
      <w:start w:val="1"/>
      <w:numFmt w:val="bullet"/>
      <w:lvlText w:val=""/>
      <w:lvlJc w:val="left"/>
      <w:pPr>
        <w:ind w:left="720" w:hanging="360"/>
      </w:pPr>
      <w:rPr>
        <w:rFonts w:ascii="Symbol" w:hAnsi="Symbol" w:hint="default"/>
      </w:rPr>
    </w:lvl>
    <w:lvl w:ilvl="1" w:tplc="C150A896">
      <w:start w:val="1"/>
      <w:numFmt w:val="bullet"/>
      <w:lvlText w:val="o"/>
      <w:lvlJc w:val="left"/>
      <w:pPr>
        <w:ind w:left="1440" w:hanging="360"/>
      </w:pPr>
      <w:rPr>
        <w:rFonts w:ascii="Courier New" w:hAnsi="Courier New" w:hint="default"/>
      </w:rPr>
    </w:lvl>
    <w:lvl w:ilvl="2" w:tplc="0AB08100">
      <w:start w:val="1"/>
      <w:numFmt w:val="bullet"/>
      <w:lvlText w:val=""/>
      <w:lvlJc w:val="left"/>
      <w:pPr>
        <w:ind w:left="2160" w:hanging="360"/>
      </w:pPr>
      <w:rPr>
        <w:rFonts w:ascii="Wingdings" w:hAnsi="Wingdings" w:hint="default"/>
      </w:rPr>
    </w:lvl>
    <w:lvl w:ilvl="3" w:tplc="535EB436">
      <w:start w:val="1"/>
      <w:numFmt w:val="bullet"/>
      <w:lvlText w:val=""/>
      <w:lvlJc w:val="left"/>
      <w:pPr>
        <w:ind w:left="2880" w:hanging="360"/>
      </w:pPr>
      <w:rPr>
        <w:rFonts w:ascii="Symbol" w:hAnsi="Symbol" w:hint="default"/>
      </w:rPr>
    </w:lvl>
    <w:lvl w:ilvl="4" w:tplc="23F27574">
      <w:start w:val="1"/>
      <w:numFmt w:val="bullet"/>
      <w:lvlText w:val="o"/>
      <w:lvlJc w:val="left"/>
      <w:pPr>
        <w:ind w:left="3600" w:hanging="360"/>
      </w:pPr>
      <w:rPr>
        <w:rFonts w:ascii="Courier New" w:hAnsi="Courier New" w:hint="default"/>
      </w:rPr>
    </w:lvl>
    <w:lvl w:ilvl="5" w:tplc="863C16FC">
      <w:start w:val="1"/>
      <w:numFmt w:val="bullet"/>
      <w:lvlText w:val=""/>
      <w:lvlJc w:val="left"/>
      <w:pPr>
        <w:ind w:left="4320" w:hanging="360"/>
      </w:pPr>
      <w:rPr>
        <w:rFonts w:ascii="Wingdings" w:hAnsi="Wingdings" w:hint="default"/>
      </w:rPr>
    </w:lvl>
    <w:lvl w:ilvl="6" w:tplc="3F38BFC6">
      <w:start w:val="1"/>
      <w:numFmt w:val="bullet"/>
      <w:lvlText w:val=""/>
      <w:lvlJc w:val="left"/>
      <w:pPr>
        <w:ind w:left="5040" w:hanging="360"/>
      </w:pPr>
      <w:rPr>
        <w:rFonts w:ascii="Symbol" w:hAnsi="Symbol" w:hint="default"/>
      </w:rPr>
    </w:lvl>
    <w:lvl w:ilvl="7" w:tplc="8A462A4C">
      <w:start w:val="1"/>
      <w:numFmt w:val="bullet"/>
      <w:lvlText w:val="o"/>
      <w:lvlJc w:val="left"/>
      <w:pPr>
        <w:ind w:left="5760" w:hanging="360"/>
      </w:pPr>
      <w:rPr>
        <w:rFonts w:ascii="Courier New" w:hAnsi="Courier New" w:hint="default"/>
      </w:rPr>
    </w:lvl>
    <w:lvl w:ilvl="8" w:tplc="088E69E6">
      <w:start w:val="1"/>
      <w:numFmt w:val="bullet"/>
      <w:lvlText w:val=""/>
      <w:lvlJc w:val="left"/>
      <w:pPr>
        <w:ind w:left="6480" w:hanging="360"/>
      </w:pPr>
      <w:rPr>
        <w:rFonts w:ascii="Wingdings" w:hAnsi="Wingdings" w:hint="default"/>
      </w:rPr>
    </w:lvl>
  </w:abstractNum>
  <w:abstractNum w:abstractNumId="1" w15:restartNumberingAfterBreak="0">
    <w:nsid w:val="228379D6"/>
    <w:multiLevelType w:val="hybridMultilevel"/>
    <w:tmpl w:val="0018EA40"/>
    <w:lvl w:ilvl="0" w:tplc="273EC1F4">
      <w:start w:val="1"/>
      <w:numFmt w:val="bullet"/>
      <w:lvlText w:val=""/>
      <w:lvlJc w:val="left"/>
      <w:pPr>
        <w:ind w:left="720" w:hanging="360"/>
      </w:pPr>
      <w:rPr>
        <w:rFonts w:ascii="Symbol" w:hAnsi="Symbol" w:hint="default"/>
      </w:rPr>
    </w:lvl>
    <w:lvl w:ilvl="1" w:tplc="54441F80">
      <w:start w:val="1"/>
      <w:numFmt w:val="bullet"/>
      <w:lvlText w:val="o"/>
      <w:lvlJc w:val="left"/>
      <w:pPr>
        <w:ind w:left="1440" w:hanging="360"/>
      </w:pPr>
      <w:rPr>
        <w:rFonts w:ascii="Courier New" w:hAnsi="Courier New" w:hint="default"/>
      </w:rPr>
    </w:lvl>
    <w:lvl w:ilvl="2" w:tplc="F78663E0">
      <w:start w:val="1"/>
      <w:numFmt w:val="bullet"/>
      <w:lvlText w:val=""/>
      <w:lvlJc w:val="left"/>
      <w:pPr>
        <w:ind w:left="2160" w:hanging="360"/>
      </w:pPr>
      <w:rPr>
        <w:rFonts w:ascii="Wingdings" w:hAnsi="Wingdings" w:hint="default"/>
      </w:rPr>
    </w:lvl>
    <w:lvl w:ilvl="3" w:tplc="E028DEE0">
      <w:start w:val="1"/>
      <w:numFmt w:val="bullet"/>
      <w:lvlText w:val=""/>
      <w:lvlJc w:val="left"/>
      <w:pPr>
        <w:ind w:left="2880" w:hanging="360"/>
      </w:pPr>
      <w:rPr>
        <w:rFonts w:ascii="Symbol" w:hAnsi="Symbol" w:hint="default"/>
      </w:rPr>
    </w:lvl>
    <w:lvl w:ilvl="4" w:tplc="EE1C618C">
      <w:start w:val="1"/>
      <w:numFmt w:val="bullet"/>
      <w:lvlText w:val="o"/>
      <w:lvlJc w:val="left"/>
      <w:pPr>
        <w:ind w:left="3600" w:hanging="360"/>
      </w:pPr>
      <w:rPr>
        <w:rFonts w:ascii="Courier New" w:hAnsi="Courier New" w:hint="default"/>
      </w:rPr>
    </w:lvl>
    <w:lvl w:ilvl="5" w:tplc="C5F60326">
      <w:start w:val="1"/>
      <w:numFmt w:val="bullet"/>
      <w:lvlText w:val=""/>
      <w:lvlJc w:val="left"/>
      <w:pPr>
        <w:ind w:left="4320" w:hanging="360"/>
      </w:pPr>
      <w:rPr>
        <w:rFonts w:ascii="Wingdings" w:hAnsi="Wingdings" w:hint="default"/>
      </w:rPr>
    </w:lvl>
    <w:lvl w:ilvl="6" w:tplc="41C8EA26">
      <w:start w:val="1"/>
      <w:numFmt w:val="bullet"/>
      <w:lvlText w:val=""/>
      <w:lvlJc w:val="left"/>
      <w:pPr>
        <w:ind w:left="5040" w:hanging="360"/>
      </w:pPr>
      <w:rPr>
        <w:rFonts w:ascii="Symbol" w:hAnsi="Symbol" w:hint="default"/>
      </w:rPr>
    </w:lvl>
    <w:lvl w:ilvl="7" w:tplc="42D687B0">
      <w:start w:val="1"/>
      <w:numFmt w:val="bullet"/>
      <w:lvlText w:val="o"/>
      <w:lvlJc w:val="left"/>
      <w:pPr>
        <w:ind w:left="5760" w:hanging="360"/>
      </w:pPr>
      <w:rPr>
        <w:rFonts w:ascii="Courier New" w:hAnsi="Courier New" w:hint="default"/>
      </w:rPr>
    </w:lvl>
    <w:lvl w:ilvl="8" w:tplc="E23CADA4">
      <w:start w:val="1"/>
      <w:numFmt w:val="bullet"/>
      <w:lvlText w:val=""/>
      <w:lvlJc w:val="left"/>
      <w:pPr>
        <w:ind w:left="6480" w:hanging="360"/>
      </w:pPr>
      <w:rPr>
        <w:rFonts w:ascii="Wingdings" w:hAnsi="Wingdings" w:hint="default"/>
      </w:rPr>
    </w:lvl>
  </w:abstractNum>
  <w:abstractNum w:abstractNumId="2" w15:restartNumberingAfterBreak="0">
    <w:nsid w:val="30E87781"/>
    <w:multiLevelType w:val="hybridMultilevel"/>
    <w:tmpl w:val="E07A5C8A"/>
    <w:lvl w:ilvl="0" w:tplc="B5726070">
      <w:start w:val="1"/>
      <w:numFmt w:val="bullet"/>
      <w:lvlText w:val=""/>
      <w:lvlJc w:val="left"/>
      <w:pPr>
        <w:ind w:left="720" w:hanging="360"/>
      </w:pPr>
      <w:rPr>
        <w:rFonts w:ascii="Symbol" w:hAnsi="Symbol" w:hint="default"/>
      </w:rPr>
    </w:lvl>
    <w:lvl w:ilvl="1" w:tplc="01BE4A40">
      <w:start w:val="1"/>
      <w:numFmt w:val="bullet"/>
      <w:lvlText w:val="o"/>
      <w:lvlJc w:val="left"/>
      <w:pPr>
        <w:ind w:left="1440" w:hanging="360"/>
      </w:pPr>
      <w:rPr>
        <w:rFonts w:ascii="Courier New" w:hAnsi="Courier New" w:hint="default"/>
      </w:rPr>
    </w:lvl>
    <w:lvl w:ilvl="2" w:tplc="F17E0F24">
      <w:start w:val="1"/>
      <w:numFmt w:val="bullet"/>
      <w:lvlText w:val=""/>
      <w:lvlJc w:val="left"/>
      <w:pPr>
        <w:ind w:left="2160" w:hanging="360"/>
      </w:pPr>
      <w:rPr>
        <w:rFonts w:ascii="Wingdings" w:hAnsi="Wingdings" w:hint="default"/>
      </w:rPr>
    </w:lvl>
    <w:lvl w:ilvl="3" w:tplc="33D82C0E">
      <w:start w:val="1"/>
      <w:numFmt w:val="bullet"/>
      <w:lvlText w:val=""/>
      <w:lvlJc w:val="left"/>
      <w:pPr>
        <w:ind w:left="2880" w:hanging="360"/>
      </w:pPr>
      <w:rPr>
        <w:rFonts w:ascii="Symbol" w:hAnsi="Symbol" w:hint="default"/>
      </w:rPr>
    </w:lvl>
    <w:lvl w:ilvl="4" w:tplc="957C5CA4">
      <w:start w:val="1"/>
      <w:numFmt w:val="bullet"/>
      <w:lvlText w:val="o"/>
      <w:lvlJc w:val="left"/>
      <w:pPr>
        <w:ind w:left="3600" w:hanging="360"/>
      </w:pPr>
      <w:rPr>
        <w:rFonts w:ascii="Courier New" w:hAnsi="Courier New" w:hint="default"/>
      </w:rPr>
    </w:lvl>
    <w:lvl w:ilvl="5" w:tplc="51D2419C">
      <w:start w:val="1"/>
      <w:numFmt w:val="bullet"/>
      <w:lvlText w:val=""/>
      <w:lvlJc w:val="left"/>
      <w:pPr>
        <w:ind w:left="4320" w:hanging="360"/>
      </w:pPr>
      <w:rPr>
        <w:rFonts w:ascii="Wingdings" w:hAnsi="Wingdings" w:hint="default"/>
      </w:rPr>
    </w:lvl>
    <w:lvl w:ilvl="6" w:tplc="7E06420E">
      <w:start w:val="1"/>
      <w:numFmt w:val="bullet"/>
      <w:lvlText w:val=""/>
      <w:lvlJc w:val="left"/>
      <w:pPr>
        <w:ind w:left="5040" w:hanging="360"/>
      </w:pPr>
      <w:rPr>
        <w:rFonts w:ascii="Symbol" w:hAnsi="Symbol" w:hint="default"/>
      </w:rPr>
    </w:lvl>
    <w:lvl w:ilvl="7" w:tplc="77209AEA">
      <w:start w:val="1"/>
      <w:numFmt w:val="bullet"/>
      <w:lvlText w:val="o"/>
      <w:lvlJc w:val="left"/>
      <w:pPr>
        <w:ind w:left="5760" w:hanging="360"/>
      </w:pPr>
      <w:rPr>
        <w:rFonts w:ascii="Courier New" w:hAnsi="Courier New" w:hint="default"/>
      </w:rPr>
    </w:lvl>
    <w:lvl w:ilvl="8" w:tplc="A3DCB0BA">
      <w:start w:val="1"/>
      <w:numFmt w:val="bullet"/>
      <w:lvlText w:val=""/>
      <w:lvlJc w:val="left"/>
      <w:pPr>
        <w:ind w:left="6480" w:hanging="360"/>
      </w:pPr>
      <w:rPr>
        <w:rFonts w:ascii="Wingdings" w:hAnsi="Wingdings" w:hint="default"/>
      </w:rPr>
    </w:lvl>
  </w:abstractNum>
  <w:abstractNum w:abstractNumId="3" w15:restartNumberingAfterBreak="0">
    <w:nsid w:val="3CBDB78A"/>
    <w:multiLevelType w:val="hybridMultilevel"/>
    <w:tmpl w:val="45487042"/>
    <w:lvl w:ilvl="0" w:tplc="18CC9C20">
      <w:start w:val="1"/>
      <w:numFmt w:val="bullet"/>
      <w:lvlText w:val=""/>
      <w:lvlJc w:val="left"/>
      <w:pPr>
        <w:ind w:left="720" w:hanging="360"/>
      </w:pPr>
      <w:rPr>
        <w:rFonts w:ascii="Symbol" w:hAnsi="Symbol" w:hint="default"/>
      </w:rPr>
    </w:lvl>
    <w:lvl w:ilvl="1" w:tplc="28F0C74E">
      <w:start w:val="1"/>
      <w:numFmt w:val="bullet"/>
      <w:lvlText w:val="o"/>
      <w:lvlJc w:val="left"/>
      <w:pPr>
        <w:ind w:left="1440" w:hanging="360"/>
      </w:pPr>
      <w:rPr>
        <w:rFonts w:ascii="Courier New" w:hAnsi="Courier New" w:hint="default"/>
      </w:rPr>
    </w:lvl>
    <w:lvl w:ilvl="2" w:tplc="80DE3892">
      <w:start w:val="1"/>
      <w:numFmt w:val="bullet"/>
      <w:lvlText w:val=""/>
      <w:lvlJc w:val="left"/>
      <w:pPr>
        <w:ind w:left="2160" w:hanging="360"/>
      </w:pPr>
      <w:rPr>
        <w:rFonts w:ascii="Wingdings" w:hAnsi="Wingdings" w:hint="default"/>
      </w:rPr>
    </w:lvl>
    <w:lvl w:ilvl="3" w:tplc="84729C28">
      <w:start w:val="1"/>
      <w:numFmt w:val="bullet"/>
      <w:lvlText w:val=""/>
      <w:lvlJc w:val="left"/>
      <w:pPr>
        <w:ind w:left="2880" w:hanging="360"/>
      </w:pPr>
      <w:rPr>
        <w:rFonts w:ascii="Symbol" w:hAnsi="Symbol" w:hint="default"/>
      </w:rPr>
    </w:lvl>
    <w:lvl w:ilvl="4" w:tplc="1960B654">
      <w:start w:val="1"/>
      <w:numFmt w:val="bullet"/>
      <w:lvlText w:val="o"/>
      <w:lvlJc w:val="left"/>
      <w:pPr>
        <w:ind w:left="3600" w:hanging="360"/>
      </w:pPr>
      <w:rPr>
        <w:rFonts w:ascii="Courier New" w:hAnsi="Courier New" w:hint="default"/>
      </w:rPr>
    </w:lvl>
    <w:lvl w:ilvl="5" w:tplc="4C1E871E">
      <w:start w:val="1"/>
      <w:numFmt w:val="bullet"/>
      <w:lvlText w:val=""/>
      <w:lvlJc w:val="left"/>
      <w:pPr>
        <w:ind w:left="4320" w:hanging="360"/>
      </w:pPr>
      <w:rPr>
        <w:rFonts w:ascii="Wingdings" w:hAnsi="Wingdings" w:hint="default"/>
      </w:rPr>
    </w:lvl>
    <w:lvl w:ilvl="6" w:tplc="3112C6E0">
      <w:start w:val="1"/>
      <w:numFmt w:val="bullet"/>
      <w:lvlText w:val=""/>
      <w:lvlJc w:val="left"/>
      <w:pPr>
        <w:ind w:left="5040" w:hanging="360"/>
      </w:pPr>
      <w:rPr>
        <w:rFonts w:ascii="Symbol" w:hAnsi="Symbol" w:hint="default"/>
      </w:rPr>
    </w:lvl>
    <w:lvl w:ilvl="7" w:tplc="0D4EE992">
      <w:start w:val="1"/>
      <w:numFmt w:val="bullet"/>
      <w:lvlText w:val="o"/>
      <w:lvlJc w:val="left"/>
      <w:pPr>
        <w:ind w:left="5760" w:hanging="360"/>
      </w:pPr>
      <w:rPr>
        <w:rFonts w:ascii="Courier New" w:hAnsi="Courier New" w:hint="default"/>
      </w:rPr>
    </w:lvl>
    <w:lvl w:ilvl="8" w:tplc="20502104">
      <w:start w:val="1"/>
      <w:numFmt w:val="bullet"/>
      <w:lvlText w:val=""/>
      <w:lvlJc w:val="left"/>
      <w:pPr>
        <w:ind w:left="6480" w:hanging="360"/>
      </w:pPr>
      <w:rPr>
        <w:rFonts w:ascii="Wingdings" w:hAnsi="Wingdings" w:hint="default"/>
      </w:rPr>
    </w:lvl>
  </w:abstractNum>
  <w:abstractNum w:abstractNumId="4" w15:restartNumberingAfterBreak="0">
    <w:nsid w:val="650F9C57"/>
    <w:multiLevelType w:val="hybridMultilevel"/>
    <w:tmpl w:val="3356C74E"/>
    <w:lvl w:ilvl="0" w:tplc="A912C152">
      <w:start w:val="1"/>
      <w:numFmt w:val="bullet"/>
      <w:lvlText w:val=""/>
      <w:lvlJc w:val="left"/>
      <w:pPr>
        <w:ind w:left="360" w:hanging="360"/>
      </w:pPr>
      <w:rPr>
        <w:rFonts w:ascii="Symbol" w:hAnsi="Symbol" w:hint="default"/>
      </w:rPr>
    </w:lvl>
    <w:lvl w:ilvl="1" w:tplc="F0D4B432">
      <w:start w:val="1"/>
      <w:numFmt w:val="bullet"/>
      <w:lvlText w:val="o"/>
      <w:lvlJc w:val="left"/>
      <w:pPr>
        <w:ind w:left="1080" w:hanging="360"/>
      </w:pPr>
      <w:rPr>
        <w:rFonts w:ascii="Courier New" w:hAnsi="Courier New" w:hint="default"/>
      </w:rPr>
    </w:lvl>
    <w:lvl w:ilvl="2" w:tplc="866202BE">
      <w:start w:val="1"/>
      <w:numFmt w:val="bullet"/>
      <w:lvlText w:val=""/>
      <w:lvlJc w:val="left"/>
      <w:pPr>
        <w:ind w:left="1800" w:hanging="360"/>
      </w:pPr>
      <w:rPr>
        <w:rFonts w:ascii="Wingdings" w:hAnsi="Wingdings" w:hint="default"/>
      </w:rPr>
    </w:lvl>
    <w:lvl w:ilvl="3" w:tplc="9FAABAEE">
      <w:start w:val="1"/>
      <w:numFmt w:val="bullet"/>
      <w:lvlText w:val=""/>
      <w:lvlJc w:val="left"/>
      <w:pPr>
        <w:ind w:left="2520" w:hanging="360"/>
      </w:pPr>
      <w:rPr>
        <w:rFonts w:ascii="Symbol" w:hAnsi="Symbol" w:hint="default"/>
      </w:rPr>
    </w:lvl>
    <w:lvl w:ilvl="4" w:tplc="C4824F60">
      <w:start w:val="1"/>
      <w:numFmt w:val="bullet"/>
      <w:lvlText w:val="o"/>
      <w:lvlJc w:val="left"/>
      <w:pPr>
        <w:ind w:left="3240" w:hanging="360"/>
      </w:pPr>
      <w:rPr>
        <w:rFonts w:ascii="Courier New" w:hAnsi="Courier New" w:hint="default"/>
      </w:rPr>
    </w:lvl>
    <w:lvl w:ilvl="5" w:tplc="A33A6A18">
      <w:start w:val="1"/>
      <w:numFmt w:val="bullet"/>
      <w:lvlText w:val=""/>
      <w:lvlJc w:val="left"/>
      <w:pPr>
        <w:ind w:left="3960" w:hanging="360"/>
      </w:pPr>
      <w:rPr>
        <w:rFonts w:ascii="Wingdings" w:hAnsi="Wingdings" w:hint="default"/>
      </w:rPr>
    </w:lvl>
    <w:lvl w:ilvl="6" w:tplc="7FF0A32C">
      <w:start w:val="1"/>
      <w:numFmt w:val="bullet"/>
      <w:lvlText w:val=""/>
      <w:lvlJc w:val="left"/>
      <w:pPr>
        <w:ind w:left="4680" w:hanging="360"/>
      </w:pPr>
      <w:rPr>
        <w:rFonts w:ascii="Symbol" w:hAnsi="Symbol" w:hint="default"/>
      </w:rPr>
    </w:lvl>
    <w:lvl w:ilvl="7" w:tplc="369C7AEC">
      <w:start w:val="1"/>
      <w:numFmt w:val="bullet"/>
      <w:lvlText w:val="o"/>
      <w:lvlJc w:val="left"/>
      <w:pPr>
        <w:ind w:left="5400" w:hanging="360"/>
      </w:pPr>
      <w:rPr>
        <w:rFonts w:ascii="Courier New" w:hAnsi="Courier New" w:hint="default"/>
      </w:rPr>
    </w:lvl>
    <w:lvl w:ilvl="8" w:tplc="3858D4AE">
      <w:start w:val="1"/>
      <w:numFmt w:val="bullet"/>
      <w:lvlText w:val=""/>
      <w:lvlJc w:val="left"/>
      <w:pPr>
        <w:ind w:left="6120" w:hanging="360"/>
      </w:pPr>
      <w:rPr>
        <w:rFonts w:ascii="Wingdings" w:hAnsi="Wingdings" w:hint="default"/>
      </w:rPr>
    </w:lvl>
  </w:abstractNum>
  <w:num w:numId="1" w16cid:durableId="306011317">
    <w:abstractNumId w:val="4"/>
  </w:num>
  <w:num w:numId="2" w16cid:durableId="85150865">
    <w:abstractNumId w:val="0"/>
  </w:num>
  <w:num w:numId="3" w16cid:durableId="1390879222">
    <w:abstractNumId w:val="3"/>
  </w:num>
  <w:num w:numId="4" w16cid:durableId="8988624">
    <w:abstractNumId w:val="1"/>
  </w:num>
  <w:num w:numId="5" w16cid:durableId="2008243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F4E495"/>
    <w:rsid w:val="000150FE"/>
    <w:rsid w:val="00063AC3"/>
    <w:rsid w:val="00082447"/>
    <w:rsid w:val="00083539"/>
    <w:rsid w:val="000A5FA4"/>
    <w:rsid w:val="001007CD"/>
    <w:rsid w:val="0011045A"/>
    <w:rsid w:val="00123724"/>
    <w:rsid w:val="00134639"/>
    <w:rsid w:val="00145442"/>
    <w:rsid w:val="00193210"/>
    <w:rsid w:val="001A71B3"/>
    <w:rsid w:val="001C215D"/>
    <w:rsid w:val="001C7447"/>
    <w:rsid w:val="001D2DAC"/>
    <w:rsid w:val="001F429C"/>
    <w:rsid w:val="00204C41"/>
    <w:rsid w:val="00225A77"/>
    <w:rsid w:val="00230BF5"/>
    <w:rsid w:val="002358B2"/>
    <w:rsid w:val="00243D29"/>
    <w:rsid w:val="00244EF0"/>
    <w:rsid w:val="0026714A"/>
    <w:rsid w:val="0027764D"/>
    <w:rsid w:val="0029462A"/>
    <w:rsid w:val="002A6241"/>
    <w:rsid w:val="002B440B"/>
    <w:rsid w:val="002B4CB7"/>
    <w:rsid w:val="002B5000"/>
    <w:rsid w:val="002D5F0A"/>
    <w:rsid w:val="002E1D29"/>
    <w:rsid w:val="002E7498"/>
    <w:rsid w:val="00334D24"/>
    <w:rsid w:val="00340327"/>
    <w:rsid w:val="00361DE4"/>
    <w:rsid w:val="0036349B"/>
    <w:rsid w:val="00370DF1"/>
    <w:rsid w:val="0037286A"/>
    <w:rsid w:val="003D5591"/>
    <w:rsid w:val="003E68F5"/>
    <w:rsid w:val="003F050B"/>
    <w:rsid w:val="003F1A46"/>
    <w:rsid w:val="00403F18"/>
    <w:rsid w:val="00441093"/>
    <w:rsid w:val="00454AED"/>
    <w:rsid w:val="00460924"/>
    <w:rsid w:val="0046479A"/>
    <w:rsid w:val="00470EDE"/>
    <w:rsid w:val="004743D6"/>
    <w:rsid w:val="004935BC"/>
    <w:rsid w:val="004A59E2"/>
    <w:rsid w:val="004E49C4"/>
    <w:rsid w:val="004F7C6C"/>
    <w:rsid w:val="004F7CF9"/>
    <w:rsid w:val="00504BF3"/>
    <w:rsid w:val="0051508F"/>
    <w:rsid w:val="005273A3"/>
    <w:rsid w:val="00531E86"/>
    <w:rsid w:val="00532698"/>
    <w:rsid w:val="005627F6"/>
    <w:rsid w:val="005816D3"/>
    <w:rsid w:val="00584C89"/>
    <w:rsid w:val="0058606D"/>
    <w:rsid w:val="005D6128"/>
    <w:rsid w:val="0060408F"/>
    <w:rsid w:val="00635B96"/>
    <w:rsid w:val="006434C5"/>
    <w:rsid w:val="00651E5D"/>
    <w:rsid w:val="00667582"/>
    <w:rsid w:val="00676BF0"/>
    <w:rsid w:val="00693597"/>
    <w:rsid w:val="006B44EB"/>
    <w:rsid w:val="006F7B7E"/>
    <w:rsid w:val="00700DB0"/>
    <w:rsid w:val="007254E7"/>
    <w:rsid w:val="007441B9"/>
    <w:rsid w:val="00772AAE"/>
    <w:rsid w:val="00786991"/>
    <w:rsid w:val="0079033A"/>
    <w:rsid w:val="007A2C6D"/>
    <w:rsid w:val="007B296A"/>
    <w:rsid w:val="007C51EA"/>
    <w:rsid w:val="007C7217"/>
    <w:rsid w:val="007D78E8"/>
    <w:rsid w:val="007E7A0C"/>
    <w:rsid w:val="008138E0"/>
    <w:rsid w:val="00822B80"/>
    <w:rsid w:val="00845EE9"/>
    <w:rsid w:val="008733FE"/>
    <w:rsid w:val="0088730B"/>
    <w:rsid w:val="008D6E46"/>
    <w:rsid w:val="008F265A"/>
    <w:rsid w:val="00922B40"/>
    <w:rsid w:val="0093069C"/>
    <w:rsid w:val="009359C5"/>
    <w:rsid w:val="00964BE0"/>
    <w:rsid w:val="00997582"/>
    <w:rsid w:val="009A2593"/>
    <w:rsid w:val="009C3D3A"/>
    <w:rsid w:val="009D02E0"/>
    <w:rsid w:val="009E0B52"/>
    <w:rsid w:val="009F4EEE"/>
    <w:rsid w:val="00A0648C"/>
    <w:rsid w:val="00A07C81"/>
    <w:rsid w:val="00A101D2"/>
    <w:rsid w:val="00A4543A"/>
    <w:rsid w:val="00A45667"/>
    <w:rsid w:val="00AA0D54"/>
    <w:rsid w:val="00AB31EA"/>
    <w:rsid w:val="00AB5140"/>
    <w:rsid w:val="00AC2F54"/>
    <w:rsid w:val="00AF0CA7"/>
    <w:rsid w:val="00B537CD"/>
    <w:rsid w:val="00B53F49"/>
    <w:rsid w:val="00B645A1"/>
    <w:rsid w:val="00B76686"/>
    <w:rsid w:val="00B97FA2"/>
    <w:rsid w:val="00BC5F0A"/>
    <w:rsid w:val="00BE74D2"/>
    <w:rsid w:val="00C10597"/>
    <w:rsid w:val="00C11536"/>
    <w:rsid w:val="00C11F8C"/>
    <w:rsid w:val="00C26D1C"/>
    <w:rsid w:val="00C47857"/>
    <w:rsid w:val="00C50D3B"/>
    <w:rsid w:val="00C526B9"/>
    <w:rsid w:val="00C53C77"/>
    <w:rsid w:val="00C544E1"/>
    <w:rsid w:val="00C71470"/>
    <w:rsid w:val="00CB1A84"/>
    <w:rsid w:val="00CD13BE"/>
    <w:rsid w:val="00CF6765"/>
    <w:rsid w:val="00D154B3"/>
    <w:rsid w:val="00D17146"/>
    <w:rsid w:val="00D35DB8"/>
    <w:rsid w:val="00D63BBF"/>
    <w:rsid w:val="00DA5647"/>
    <w:rsid w:val="00DA5C66"/>
    <w:rsid w:val="00DC33D7"/>
    <w:rsid w:val="00DC4A87"/>
    <w:rsid w:val="00DC7702"/>
    <w:rsid w:val="00DF53AE"/>
    <w:rsid w:val="00E654AB"/>
    <w:rsid w:val="00EB0FA6"/>
    <w:rsid w:val="00EB5E0A"/>
    <w:rsid w:val="00EB6C80"/>
    <w:rsid w:val="00EC141E"/>
    <w:rsid w:val="00EC2E2B"/>
    <w:rsid w:val="00F07AF5"/>
    <w:rsid w:val="00F11854"/>
    <w:rsid w:val="00F210F3"/>
    <w:rsid w:val="00F22FBB"/>
    <w:rsid w:val="00F42DDE"/>
    <w:rsid w:val="00F5421B"/>
    <w:rsid w:val="00F64397"/>
    <w:rsid w:val="00F669F0"/>
    <w:rsid w:val="00F85238"/>
    <w:rsid w:val="00FA0D4C"/>
    <w:rsid w:val="00FA70D9"/>
    <w:rsid w:val="00FC79FB"/>
    <w:rsid w:val="011DA62E"/>
    <w:rsid w:val="01326082"/>
    <w:rsid w:val="01462593"/>
    <w:rsid w:val="015FC520"/>
    <w:rsid w:val="01AA5773"/>
    <w:rsid w:val="02C6F4DE"/>
    <w:rsid w:val="0347EDC7"/>
    <w:rsid w:val="03B5BFC0"/>
    <w:rsid w:val="03CFB5C5"/>
    <w:rsid w:val="041D69D5"/>
    <w:rsid w:val="04511ECA"/>
    <w:rsid w:val="049A2CAA"/>
    <w:rsid w:val="04CD44F3"/>
    <w:rsid w:val="0566FE16"/>
    <w:rsid w:val="0641057F"/>
    <w:rsid w:val="06431756"/>
    <w:rsid w:val="066BBC1D"/>
    <w:rsid w:val="07189FC4"/>
    <w:rsid w:val="07191CC3"/>
    <w:rsid w:val="071F8A6B"/>
    <w:rsid w:val="07F89675"/>
    <w:rsid w:val="08A1ADDF"/>
    <w:rsid w:val="08FCBD35"/>
    <w:rsid w:val="09046678"/>
    <w:rsid w:val="092D5F9B"/>
    <w:rsid w:val="093982CF"/>
    <w:rsid w:val="09F8A683"/>
    <w:rsid w:val="0A32C76E"/>
    <w:rsid w:val="0A9C1017"/>
    <w:rsid w:val="0ABB9099"/>
    <w:rsid w:val="0B584C1D"/>
    <w:rsid w:val="0C43D0B3"/>
    <w:rsid w:val="0C90F175"/>
    <w:rsid w:val="0CBA3B63"/>
    <w:rsid w:val="0D55A450"/>
    <w:rsid w:val="0DA95A38"/>
    <w:rsid w:val="0E94B513"/>
    <w:rsid w:val="0E9E3FFD"/>
    <w:rsid w:val="0F169B24"/>
    <w:rsid w:val="0F49E2C6"/>
    <w:rsid w:val="103596B8"/>
    <w:rsid w:val="1052E712"/>
    <w:rsid w:val="11D0E035"/>
    <w:rsid w:val="11DADF98"/>
    <w:rsid w:val="120C3787"/>
    <w:rsid w:val="12B557A9"/>
    <w:rsid w:val="1306809F"/>
    <w:rsid w:val="130E19EC"/>
    <w:rsid w:val="1340BF9A"/>
    <w:rsid w:val="13A546B8"/>
    <w:rsid w:val="13B70D93"/>
    <w:rsid w:val="143A31B5"/>
    <w:rsid w:val="150D18D6"/>
    <w:rsid w:val="15AA43F3"/>
    <w:rsid w:val="15EF6221"/>
    <w:rsid w:val="15F1261B"/>
    <w:rsid w:val="1614372A"/>
    <w:rsid w:val="1619BD9A"/>
    <w:rsid w:val="16E1892A"/>
    <w:rsid w:val="172B5FA5"/>
    <w:rsid w:val="17449011"/>
    <w:rsid w:val="179E1E6C"/>
    <w:rsid w:val="17BE782A"/>
    <w:rsid w:val="17CD8CE3"/>
    <w:rsid w:val="1841CCD1"/>
    <w:rsid w:val="1898C030"/>
    <w:rsid w:val="18A7AE04"/>
    <w:rsid w:val="18BF5485"/>
    <w:rsid w:val="18C80722"/>
    <w:rsid w:val="192C6FE2"/>
    <w:rsid w:val="19645EB6"/>
    <w:rsid w:val="1A96F7C6"/>
    <w:rsid w:val="1AC978BB"/>
    <w:rsid w:val="1C20BE6C"/>
    <w:rsid w:val="1C71F828"/>
    <w:rsid w:val="1DA6B1CD"/>
    <w:rsid w:val="1DA9AADB"/>
    <w:rsid w:val="1DCC72DC"/>
    <w:rsid w:val="1E61F6A8"/>
    <w:rsid w:val="1E8E75FD"/>
    <w:rsid w:val="1EEF524C"/>
    <w:rsid w:val="1F41D64A"/>
    <w:rsid w:val="20497B39"/>
    <w:rsid w:val="21235C04"/>
    <w:rsid w:val="21C4FB5A"/>
    <w:rsid w:val="2259B23C"/>
    <w:rsid w:val="22F27AB4"/>
    <w:rsid w:val="22F341D3"/>
    <w:rsid w:val="23782189"/>
    <w:rsid w:val="24041466"/>
    <w:rsid w:val="242012B7"/>
    <w:rsid w:val="247F14E9"/>
    <w:rsid w:val="2550FE7E"/>
    <w:rsid w:val="25B9822D"/>
    <w:rsid w:val="26172D4D"/>
    <w:rsid w:val="26D91E3C"/>
    <w:rsid w:val="27A81CCC"/>
    <w:rsid w:val="27BB502C"/>
    <w:rsid w:val="28284528"/>
    <w:rsid w:val="284A6A41"/>
    <w:rsid w:val="298D509A"/>
    <w:rsid w:val="299654C6"/>
    <w:rsid w:val="2998B1D5"/>
    <w:rsid w:val="29B956BC"/>
    <w:rsid w:val="2A4E2E65"/>
    <w:rsid w:val="2AA2F281"/>
    <w:rsid w:val="2B4AC840"/>
    <w:rsid w:val="2BC28E1C"/>
    <w:rsid w:val="2C531AF1"/>
    <w:rsid w:val="2CE88091"/>
    <w:rsid w:val="2E29E5C1"/>
    <w:rsid w:val="2E31E780"/>
    <w:rsid w:val="2E44C884"/>
    <w:rsid w:val="2E848EEA"/>
    <w:rsid w:val="2F24E15B"/>
    <w:rsid w:val="2F2CD28C"/>
    <w:rsid w:val="3144CA25"/>
    <w:rsid w:val="319C3D7D"/>
    <w:rsid w:val="31AB0E7A"/>
    <w:rsid w:val="3201065E"/>
    <w:rsid w:val="321C329C"/>
    <w:rsid w:val="3233D42B"/>
    <w:rsid w:val="325847B3"/>
    <w:rsid w:val="32BB1443"/>
    <w:rsid w:val="33EF7D67"/>
    <w:rsid w:val="346D31B2"/>
    <w:rsid w:val="35146E59"/>
    <w:rsid w:val="352104D2"/>
    <w:rsid w:val="35C6F531"/>
    <w:rsid w:val="36B1FD00"/>
    <w:rsid w:val="370DCB8C"/>
    <w:rsid w:val="3719F62E"/>
    <w:rsid w:val="37C5AD72"/>
    <w:rsid w:val="37F5002F"/>
    <w:rsid w:val="3854ABB3"/>
    <w:rsid w:val="38F4B67D"/>
    <w:rsid w:val="3922B2C9"/>
    <w:rsid w:val="394142D7"/>
    <w:rsid w:val="3997019C"/>
    <w:rsid w:val="3A721B58"/>
    <w:rsid w:val="3ACDAE8A"/>
    <w:rsid w:val="3BE1C7AA"/>
    <w:rsid w:val="3BFE0D2E"/>
    <w:rsid w:val="3D50E25A"/>
    <w:rsid w:val="3D83AD34"/>
    <w:rsid w:val="3DE038A3"/>
    <w:rsid w:val="3E89164E"/>
    <w:rsid w:val="3F04DC88"/>
    <w:rsid w:val="3F3E5515"/>
    <w:rsid w:val="3F449380"/>
    <w:rsid w:val="41B371EE"/>
    <w:rsid w:val="421C3398"/>
    <w:rsid w:val="42B21E05"/>
    <w:rsid w:val="42F4E495"/>
    <w:rsid w:val="438519F5"/>
    <w:rsid w:val="446B209A"/>
    <w:rsid w:val="4566166D"/>
    <w:rsid w:val="45F8B776"/>
    <w:rsid w:val="46AB2B5E"/>
    <w:rsid w:val="46ED6F5E"/>
    <w:rsid w:val="484A2776"/>
    <w:rsid w:val="488CD629"/>
    <w:rsid w:val="48DD3B68"/>
    <w:rsid w:val="49D56A73"/>
    <w:rsid w:val="49F27B6C"/>
    <w:rsid w:val="4A2A0BCC"/>
    <w:rsid w:val="4A628DA2"/>
    <w:rsid w:val="4AAAFD48"/>
    <w:rsid w:val="4AAF6140"/>
    <w:rsid w:val="4B0E644F"/>
    <w:rsid w:val="4B8578E7"/>
    <w:rsid w:val="4B95AD14"/>
    <w:rsid w:val="4BD0C9A1"/>
    <w:rsid w:val="4CBD724E"/>
    <w:rsid w:val="4D01417C"/>
    <w:rsid w:val="4D515470"/>
    <w:rsid w:val="4D7DD431"/>
    <w:rsid w:val="4DA02EA2"/>
    <w:rsid w:val="4DD989AE"/>
    <w:rsid w:val="4E0A5689"/>
    <w:rsid w:val="4E12CE51"/>
    <w:rsid w:val="4E2A3D97"/>
    <w:rsid w:val="4E444A02"/>
    <w:rsid w:val="4E74D7F4"/>
    <w:rsid w:val="4F387D8B"/>
    <w:rsid w:val="4FD78041"/>
    <w:rsid w:val="51144E52"/>
    <w:rsid w:val="51C5BEA4"/>
    <w:rsid w:val="51CE5EB1"/>
    <w:rsid w:val="520C3966"/>
    <w:rsid w:val="52F5FFDB"/>
    <w:rsid w:val="5300EC47"/>
    <w:rsid w:val="537F1030"/>
    <w:rsid w:val="539ECEB0"/>
    <w:rsid w:val="53B2B004"/>
    <w:rsid w:val="5472CE52"/>
    <w:rsid w:val="55098825"/>
    <w:rsid w:val="550FED28"/>
    <w:rsid w:val="5551371F"/>
    <w:rsid w:val="5569A63A"/>
    <w:rsid w:val="55B5BB0E"/>
    <w:rsid w:val="5604E702"/>
    <w:rsid w:val="562F16F7"/>
    <w:rsid w:val="5630011C"/>
    <w:rsid w:val="566CA346"/>
    <w:rsid w:val="56A71484"/>
    <w:rsid w:val="572A8B0F"/>
    <w:rsid w:val="58CE21EE"/>
    <w:rsid w:val="58D652A8"/>
    <w:rsid w:val="5A1E84F2"/>
    <w:rsid w:val="5ABBD741"/>
    <w:rsid w:val="5B94A8EA"/>
    <w:rsid w:val="5C2C4F53"/>
    <w:rsid w:val="5C95FE74"/>
    <w:rsid w:val="5D87109F"/>
    <w:rsid w:val="5DD21AF9"/>
    <w:rsid w:val="5DFA1E71"/>
    <w:rsid w:val="5E7A8334"/>
    <w:rsid w:val="5F54951E"/>
    <w:rsid w:val="5F6B877F"/>
    <w:rsid w:val="6014A8C9"/>
    <w:rsid w:val="606877C2"/>
    <w:rsid w:val="61A5EFCD"/>
    <w:rsid w:val="62259A2B"/>
    <w:rsid w:val="6241535C"/>
    <w:rsid w:val="634D0075"/>
    <w:rsid w:val="64017834"/>
    <w:rsid w:val="6491DCB7"/>
    <w:rsid w:val="64C274AA"/>
    <w:rsid w:val="64EC3521"/>
    <w:rsid w:val="6545E2A0"/>
    <w:rsid w:val="65E8A989"/>
    <w:rsid w:val="6726E859"/>
    <w:rsid w:val="675944A3"/>
    <w:rsid w:val="68144D71"/>
    <w:rsid w:val="68436825"/>
    <w:rsid w:val="685469D1"/>
    <w:rsid w:val="68BC28EA"/>
    <w:rsid w:val="6931B2FD"/>
    <w:rsid w:val="694115E1"/>
    <w:rsid w:val="695D10C0"/>
    <w:rsid w:val="69C9878E"/>
    <w:rsid w:val="69EE25AE"/>
    <w:rsid w:val="6A28C5C8"/>
    <w:rsid w:val="6A34FC7D"/>
    <w:rsid w:val="6C6474F7"/>
    <w:rsid w:val="6CB23180"/>
    <w:rsid w:val="6CD2C9AD"/>
    <w:rsid w:val="6DCEDD04"/>
    <w:rsid w:val="6DF4FDD7"/>
    <w:rsid w:val="6DF8F9AA"/>
    <w:rsid w:val="6E075C38"/>
    <w:rsid w:val="6F43A38E"/>
    <w:rsid w:val="7027F4A6"/>
    <w:rsid w:val="70AA19C5"/>
    <w:rsid w:val="720147CC"/>
    <w:rsid w:val="72ED88FC"/>
    <w:rsid w:val="7430FB28"/>
    <w:rsid w:val="746235B4"/>
    <w:rsid w:val="74A2E43B"/>
    <w:rsid w:val="760CDED8"/>
    <w:rsid w:val="76C381A4"/>
    <w:rsid w:val="77032DF5"/>
    <w:rsid w:val="7758FF17"/>
    <w:rsid w:val="776418A3"/>
    <w:rsid w:val="77932D72"/>
    <w:rsid w:val="7815B56C"/>
    <w:rsid w:val="783F9A81"/>
    <w:rsid w:val="78E5DDA4"/>
    <w:rsid w:val="78F1E359"/>
    <w:rsid w:val="7939FD75"/>
    <w:rsid w:val="7A147849"/>
    <w:rsid w:val="7C83A40A"/>
    <w:rsid w:val="7C91D4DF"/>
    <w:rsid w:val="7D644127"/>
    <w:rsid w:val="7DB2EC0A"/>
    <w:rsid w:val="7DF4521B"/>
    <w:rsid w:val="7E858C7D"/>
    <w:rsid w:val="7F2097AE"/>
    <w:rsid w:val="7F5C6A8F"/>
    <w:rsid w:val="7F5E5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E495"/>
  <w15:chartTrackingRefBased/>
  <w15:docId w15:val="{57F46600-B56C-47A2-AB3B-2DBDFFEB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95D10C0"/>
    <w:pPr>
      <w:tabs>
        <w:tab w:val="center" w:pos="4680"/>
        <w:tab w:val="right" w:pos="9360"/>
      </w:tabs>
      <w:spacing w:after="0" w:line="240" w:lineRule="auto"/>
    </w:pPr>
  </w:style>
  <w:style w:type="paragraph" w:styleId="Footer">
    <w:name w:val="footer"/>
    <w:basedOn w:val="Normal"/>
    <w:uiPriority w:val="99"/>
    <w:unhideWhenUsed/>
    <w:rsid w:val="695D10C0"/>
    <w:pPr>
      <w:tabs>
        <w:tab w:val="center" w:pos="4680"/>
        <w:tab w:val="right" w:pos="9360"/>
      </w:tabs>
      <w:spacing w:after="0" w:line="240" w:lineRule="auto"/>
    </w:pPr>
  </w:style>
  <w:style w:type="paragraph" w:styleId="ListParagraph">
    <w:name w:val="List Paragraph"/>
    <w:basedOn w:val="Normal"/>
    <w:uiPriority w:val="34"/>
    <w:qFormat/>
    <w:rsid w:val="695D10C0"/>
    <w:pPr>
      <w:ind w:left="720"/>
      <w:contextualSpacing/>
    </w:pPr>
  </w:style>
  <w:style w:type="character" w:styleId="Hyperlink">
    <w:name w:val="Hyperlink"/>
    <w:basedOn w:val="DefaultParagraphFont"/>
    <w:uiPriority w:val="99"/>
    <w:unhideWhenUsed/>
    <w:rsid w:val="695D10C0"/>
    <w:rPr>
      <w:color w:val="467886"/>
      <w:u w:val="single"/>
    </w:rPr>
  </w:style>
  <w:style w:type="character" w:customStyle="1" w:styleId="normaltextrun">
    <w:name w:val="normaltextrun"/>
    <w:basedOn w:val="DefaultParagraphFont"/>
    <w:uiPriority w:val="1"/>
    <w:rsid w:val="695D10C0"/>
    <w:rPr>
      <w:rFonts w:ascii="Arial" w:eastAsia="Arial" w:hAnsi="Arial" w:cs="Arial"/>
      <w:sz w:val="24"/>
      <w:szCs w:val="24"/>
    </w:rPr>
  </w:style>
  <w:style w:type="character" w:customStyle="1" w:styleId="eop">
    <w:name w:val="eop"/>
    <w:basedOn w:val="DefaultParagraphFont"/>
    <w:uiPriority w:val="1"/>
    <w:rsid w:val="695D10C0"/>
    <w:rPr>
      <w:rFonts w:ascii="Arial" w:eastAsia="Arial" w:hAnsi="Arial" w:cs="Ari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PONormal">
    <w:name w:val="EPO Normal"/>
    <w:basedOn w:val="Normal"/>
    <w:uiPriority w:val="1"/>
    <w:qFormat/>
    <w:rsid w:val="634D0075"/>
    <w:pPr>
      <w:spacing w:after="0" w:line="287" w:lineRule="auto"/>
      <w:jc w:val="both"/>
    </w:pPr>
    <w:rPr>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B5000"/>
    <w:rPr>
      <w:b/>
      <w:bCs/>
    </w:rPr>
  </w:style>
  <w:style w:type="character" w:customStyle="1" w:styleId="CommentSubjectChar">
    <w:name w:val="Comment Subject Char"/>
    <w:basedOn w:val="CommentTextChar"/>
    <w:link w:val="CommentSubject"/>
    <w:uiPriority w:val="99"/>
    <w:semiHidden/>
    <w:rsid w:val="002B5000"/>
    <w:rPr>
      <w:b/>
      <w:bCs/>
      <w:sz w:val="20"/>
      <w:szCs w:val="20"/>
    </w:rPr>
  </w:style>
  <w:style w:type="paragraph" w:styleId="Revision">
    <w:name w:val="Revision"/>
    <w:hidden/>
    <w:uiPriority w:val="99"/>
    <w:semiHidden/>
    <w:rsid w:val="001A7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pi.justica.gov.pt/en-gb/"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o.org/de/searching-for-patents/technology-platforms/firefighting?mtm_keyword=pressrelease&amp;mtm_medium=pr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o.o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ess@epo.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bp.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2e99cb4-f4f9-415e-b3d9-1292be195fdc">TAS0-850928080-125127</_dlc_DocId>
    <_dlc_DocIdUrl xmlns="f2e99cb4-f4f9-415e-b3d9-1292be195fdc">
      <Url>https://byblos2019.internal.epo.org/sites/TAS/_layouts/15/DocIdRedir.aspx?ID=TAS0-850928080-125127</Url>
      <Description>TAS0-850928080-125127</Description>
    </_dlc_DocIdUrl>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fe85f9d-14b9-4f9c-9861-ae262a00135d" ContentTypeId="0x0101004B4BAD3DDDE0F84A8E56A09DD9B2FAD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A6D53-DD7E-4BA6-A6A9-06CE540E8744}">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2.xml><?xml version="1.0" encoding="utf-8"?>
<ds:datastoreItem xmlns:ds="http://schemas.openxmlformats.org/officeDocument/2006/customXml" ds:itemID="{76B70BAA-8456-4F1A-B595-3B6D4C167C9C}">
  <ds:schemaRefs>
    <ds:schemaRef ds:uri="http://schemas.microsoft.com/sharepoint/events"/>
  </ds:schemaRefs>
</ds:datastoreItem>
</file>

<file path=customXml/itemProps3.xml><?xml version="1.0" encoding="utf-8"?>
<ds:datastoreItem xmlns:ds="http://schemas.openxmlformats.org/officeDocument/2006/customXml" ds:itemID="{A1DCC7A7-1ED3-4948-93B2-DA1577DF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ED33A-8415-4494-BE17-DEB310E93E51}">
  <ds:schemaRefs>
    <ds:schemaRef ds:uri="Microsoft.SharePoint.Taxonomy.ContentTypeSync"/>
  </ds:schemaRefs>
</ds:datastoreItem>
</file>

<file path=customXml/itemProps5.xml><?xml version="1.0" encoding="utf-8"?>
<ds:datastoreItem xmlns:ds="http://schemas.openxmlformats.org/officeDocument/2006/customXml" ds:itemID="{98B27DD0-E00F-4539-A683-643B59C75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Rasbash (External)</dc:creator>
  <cp:keywords/>
  <dc:description/>
  <cp:lastModifiedBy>Rada Radeva</cp:lastModifiedBy>
  <cp:revision>7</cp:revision>
  <dcterms:created xsi:type="dcterms:W3CDTF">2026-05-15T09:43:00Z</dcterms:created>
  <dcterms:modified xsi:type="dcterms:W3CDTF">2026-05-15T09:52:00Z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_dlc_DocIdItemGuid">
    <vt:lpwstr>7954310d-181a-4c23-a956-3cc383322a62</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ies>
</file>